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AD9139" w14:textId="77777777" w:rsidR="00B67784" w:rsidRDefault="00B67784" w:rsidP="00B67784">
      <w:pPr>
        <w:pStyle w:val="chaptertitle"/>
        <w:shd w:val="clear" w:color="auto" w:fill="FFFFFF"/>
        <w:spacing w:before="75" w:beforeAutospacing="0" w:after="300" w:afterAutospacing="0" w:line="270" w:lineRule="atLeast"/>
        <w:jc w:val="center"/>
        <w:rPr>
          <w:rFonts w:ascii="Cambria" w:hAnsi="Cambria"/>
          <w:b/>
          <w:bCs/>
          <w:i/>
          <w:iCs/>
          <w:color w:val="000000"/>
          <w:sz w:val="42"/>
          <w:szCs w:val="42"/>
        </w:rPr>
      </w:pPr>
      <w:r>
        <w:rPr>
          <w:rStyle w:val="werd"/>
          <w:rFonts w:ascii="Cambria" w:hAnsi="Cambria"/>
          <w:b/>
          <w:bCs/>
          <w:i/>
          <w:iCs/>
          <w:color w:val="000000"/>
          <w:sz w:val="42"/>
          <w:szCs w:val="42"/>
        </w:rPr>
        <w:t>CHAPTER FIVE</w:t>
      </w:r>
    </w:p>
    <w:p w14:paraId="40A9379C" w14:textId="77777777" w:rsidR="00B67784" w:rsidRDefault="00B67784" w:rsidP="00B67784">
      <w:pPr>
        <w:pStyle w:val="chaptersubtitle"/>
        <w:shd w:val="clear" w:color="auto" w:fill="FFFFFF"/>
        <w:spacing w:before="75" w:beforeAutospacing="0" w:after="720" w:afterAutospacing="0" w:line="270" w:lineRule="atLeast"/>
        <w:jc w:val="center"/>
        <w:rPr>
          <w:rFonts w:ascii="Cambria" w:hAnsi="Cambria"/>
          <w:b/>
          <w:bCs/>
          <w:i/>
          <w:iCs/>
          <w:color w:val="000000"/>
          <w:sz w:val="42"/>
          <w:szCs w:val="42"/>
        </w:rPr>
      </w:pPr>
      <w:r>
        <w:rPr>
          <w:rStyle w:val="werd"/>
          <w:rFonts w:ascii="Cambria" w:hAnsi="Cambria"/>
          <w:b/>
          <w:bCs/>
          <w:i/>
          <w:iCs/>
          <w:color w:val="000000"/>
          <w:sz w:val="42"/>
          <w:szCs w:val="42"/>
        </w:rPr>
        <w:t>Religion</w:t>
      </w:r>
    </w:p>
    <w:p w14:paraId="36C737E9" w14:textId="77777777" w:rsidR="00B67784" w:rsidRDefault="00B67784" w:rsidP="00B67784">
      <w:pPr>
        <w:pStyle w:val="paraaftertitle"/>
        <w:shd w:val="clear" w:color="auto" w:fill="FFFFFF"/>
        <w:spacing w:before="0" w:beforeAutospacing="0" w:after="240" w:afterAutospacing="0"/>
        <w:rPr>
          <w:rFonts w:ascii="Cambria" w:hAnsi="Cambria"/>
          <w:color w:val="000000"/>
        </w:rPr>
      </w:pPr>
      <w:r>
        <w:rPr>
          <w:rStyle w:val="werd"/>
          <w:rFonts w:ascii="Cambria" w:hAnsi="Cambria"/>
          <w:color w:val="000000"/>
        </w:rPr>
        <w:t>Every culture appears to have developed ideas about supernatural forces that controlled some aspects of the natural world and the place ofhumans in it. These supernatural forces often determined basic rules for human existence, which were revealed through human agents whowere especially adept at or trained in knowing the will of the supernatural forces. Upsetting these rules could lead to chaos in society, somany cultures established structures to teach and enforce such rules, and to shape the relationship between people and the supernatural.These structures take a bewildering variety of forms: some of them focus on ancestors or spirits, while others have clear notions of a single ormultiple gods; some of them have sacred texts, while others are passed down orally; some of them require exclusive allegiance, while othersallow adherents to follow other belief systems as well; some of them are linked to political or kin structures, while others are voluntarygroups which may set their members against existing political or kin structures. Though some scholars make distinctions and label somebeliefs and practices “cults” or “magic,” it is more useful to take a broader view and consider them all religious traditions. (“Religion”sometimes has a negative connotation for contemporary people, who describe themselves as “spiritual, but not religious” and do not belongto any formal religious institution; such spirituality often draws on many religious traditions, however, and so is included here.)</w:t>
      </w:r>
    </w:p>
    <w:p w14:paraId="13B8B020" w14:textId="3262A5A6" w:rsidR="00B67784" w:rsidRDefault="00B67784" w:rsidP="00B67784">
      <w:pPr>
        <w:pStyle w:val="para"/>
        <w:shd w:val="clear" w:color="auto" w:fill="FFFFFF"/>
        <w:spacing w:before="0" w:beforeAutospacing="0" w:after="240" w:afterAutospacing="0"/>
        <w:ind w:firstLine="240"/>
        <w:rPr>
          <w:rFonts w:ascii="Cambria" w:hAnsi="Cambria"/>
          <w:color w:val="000000"/>
        </w:rPr>
      </w:pPr>
      <w:r>
        <w:rPr>
          <w:rStyle w:val="werd"/>
          <w:rFonts w:ascii="Cambria" w:hAnsi="Cambria"/>
          <w:color w:val="000000"/>
        </w:rPr>
        <w:t>The world’s religions may have been (and continue to be) extremely varied in their concepts of and approaches to the supernatural anddivine, but all of them are gendered, that is, they have created and maintained differences between what it means to be male and female.Conversely, religious ideas are influenced by gender structures arising from other parts of the culture, such as the family or the state.Religious traditions have been used both to strengthen and to question existing gender structures, providing ideas about hierarchy as well ascomplementarity and equality. Though religious leaders have attempted to create and enforce uniformity through specific religious texts,patterns of worship, clerical personnel, court systems, and alliances with political leaders, individuals have often chosen to interpretsupernatural instructions and divine will regarding gender differently, creating variety not only among religions but within them. Becauseideas about gender and religious beliefs are very often at the heart of people’s systems of values, such variety has created tremendousconflicts, and continues to do so in many parts of the world today.</w:t>
      </w:r>
    </w:p>
    <w:p w14:paraId="5E1F87E6" w14:textId="77777777" w:rsidR="00B67784" w:rsidRPr="00B67784" w:rsidRDefault="00B67784" w:rsidP="00B67784">
      <w:pPr>
        <w:numPr>
          <w:ilvl w:val="0"/>
          <w:numId w:val="1"/>
        </w:numPr>
        <w:spacing w:after="0" w:line="270" w:lineRule="atLeast"/>
        <w:ind w:left="0"/>
        <w:rPr>
          <w:rFonts w:ascii="inherit" w:eastAsia="Times New Roman" w:hAnsi="inherit" w:cs="Times New Roman"/>
          <w:color w:val="808080"/>
          <w:sz w:val="20"/>
          <w:szCs w:val="20"/>
        </w:rPr>
      </w:pPr>
      <w:hyperlink r:id="rId5" w:history="1">
        <w:r w:rsidRPr="00B67784">
          <w:rPr>
            <w:rFonts w:ascii="inherit" w:eastAsia="Times New Roman" w:hAnsi="inherit" w:cs="Times New Roman"/>
            <w:color w:val="0069D6"/>
            <w:sz w:val="20"/>
            <w:szCs w:val="20"/>
            <w:u w:val="single"/>
            <w:bdr w:val="none" w:sz="0" w:space="0" w:color="auto" w:frame="1"/>
          </w:rPr>
          <w:t>My Bookshelf</w:t>
        </w:r>
      </w:hyperlink>
    </w:p>
    <w:p w14:paraId="7AAD6C46" w14:textId="77777777" w:rsidR="00B67784" w:rsidRPr="00B67784" w:rsidRDefault="00B67784" w:rsidP="00B67784">
      <w:pPr>
        <w:numPr>
          <w:ilvl w:val="0"/>
          <w:numId w:val="1"/>
        </w:numPr>
        <w:spacing w:after="0" w:line="270" w:lineRule="atLeast"/>
        <w:ind w:left="0"/>
        <w:rPr>
          <w:rFonts w:ascii="inherit" w:eastAsia="Times New Roman" w:hAnsi="inherit" w:cs="Times New Roman"/>
          <w:color w:val="808080"/>
          <w:sz w:val="20"/>
          <w:szCs w:val="20"/>
        </w:rPr>
      </w:pPr>
      <w:hyperlink r:id="rId6" w:anchor="toc" w:history="1">
        <w:r w:rsidRPr="00B67784">
          <w:rPr>
            <w:rFonts w:ascii="inherit" w:eastAsia="Times New Roman" w:hAnsi="inherit" w:cs="Times New Roman"/>
            <w:color w:val="0069D6"/>
            <w:sz w:val="20"/>
            <w:szCs w:val="20"/>
            <w:u w:val="single"/>
            <w:bdr w:val="none" w:sz="0" w:space="0" w:color="auto" w:frame="1"/>
          </w:rPr>
          <w:t>TOC/Annotation menu</w:t>
        </w:r>
      </w:hyperlink>
    </w:p>
    <w:p w14:paraId="6A1FC4F2" w14:textId="77777777" w:rsidR="00B67784" w:rsidRPr="00B67784" w:rsidRDefault="00B67784" w:rsidP="00B67784">
      <w:pPr>
        <w:numPr>
          <w:ilvl w:val="0"/>
          <w:numId w:val="2"/>
        </w:numPr>
        <w:spacing w:after="0" w:line="270" w:lineRule="atLeast"/>
        <w:ind w:left="0"/>
        <w:rPr>
          <w:rFonts w:ascii="inherit" w:eastAsia="Times New Roman" w:hAnsi="inherit" w:cs="Times New Roman"/>
          <w:color w:val="808080"/>
          <w:sz w:val="20"/>
          <w:szCs w:val="20"/>
        </w:rPr>
      </w:pPr>
      <w:hyperlink r:id="rId7" w:anchor="options" w:history="1">
        <w:r w:rsidRPr="00B67784">
          <w:rPr>
            <w:rFonts w:ascii="inherit" w:eastAsia="Times New Roman" w:hAnsi="inherit" w:cs="Times New Roman"/>
            <w:color w:val="0069D6"/>
            <w:sz w:val="20"/>
            <w:szCs w:val="20"/>
            <w:u w:val="single"/>
            <w:bdr w:val="none" w:sz="0" w:space="0" w:color="auto" w:frame="1"/>
          </w:rPr>
          <w:t>Downloads</w:t>
        </w:r>
      </w:hyperlink>
    </w:p>
    <w:p w14:paraId="5FD35A25" w14:textId="77777777" w:rsidR="00B67784" w:rsidRPr="00B67784" w:rsidRDefault="00B67784" w:rsidP="00B67784">
      <w:pPr>
        <w:numPr>
          <w:ilvl w:val="0"/>
          <w:numId w:val="2"/>
        </w:numPr>
        <w:spacing w:after="0" w:line="270" w:lineRule="atLeast"/>
        <w:ind w:left="0"/>
        <w:rPr>
          <w:rFonts w:ascii="inherit" w:eastAsia="Times New Roman" w:hAnsi="inherit" w:cs="Times New Roman"/>
          <w:color w:val="808080"/>
          <w:sz w:val="20"/>
          <w:szCs w:val="20"/>
        </w:rPr>
      </w:pPr>
      <w:hyperlink r:id="rId8" w:history="1">
        <w:r w:rsidRPr="00B67784">
          <w:rPr>
            <w:rFonts w:ascii="inherit" w:eastAsia="Times New Roman" w:hAnsi="inherit" w:cs="Times New Roman"/>
            <w:color w:val="0069D6"/>
            <w:sz w:val="20"/>
            <w:szCs w:val="20"/>
            <w:u w:val="single"/>
            <w:bdr w:val="none" w:sz="0" w:space="0" w:color="auto" w:frame="1"/>
          </w:rPr>
          <w:t>Print</w:t>
        </w:r>
      </w:hyperlink>
    </w:p>
    <w:p w14:paraId="4A361C4D" w14:textId="77777777" w:rsidR="00B67784" w:rsidRPr="00B67784" w:rsidRDefault="00B67784" w:rsidP="00B67784">
      <w:pPr>
        <w:numPr>
          <w:ilvl w:val="0"/>
          <w:numId w:val="2"/>
        </w:numPr>
        <w:spacing w:after="0" w:line="270" w:lineRule="atLeast"/>
        <w:ind w:left="0"/>
        <w:rPr>
          <w:rFonts w:ascii="inherit" w:eastAsia="Times New Roman" w:hAnsi="inherit" w:cs="Times New Roman"/>
          <w:color w:val="808080"/>
          <w:sz w:val="20"/>
          <w:szCs w:val="20"/>
        </w:rPr>
      </w:pPr>
      <w:hyperlink r:id="rId9" w:anchor="search" w:history="1">
        <w:r w:rsidRPr="00B67784">
          <w:rPr>
            <w:rFonts w:ascii="inherit" w:eastAsia="Times New Roman" w:hAnsi="inherit" w:cs="Times New Roman"/>
            <w:color w:val="0069D6"/>
            <w:sz w:val="20"/>
            <w:szCs w:val="20"/>
            <w:u w:val="single"/>
            <w:bdr w:val="none" w:sz="0" w:space="0" w:color="auto" w:frame="1"/>
          </w:rPr>
          <w:t>Search</w:t>
        </w:r>
      </w:hyperlink>
    </w:p>
    <w:p w14:paraId="18E88E2A" w14:textId="77777777" w:rsidR="00B67784" w:rsidRPr="00B67784" w:rsidRDefault="00B67784" w:rsidP="00B67784">
      <w:pPr>
        <w:numPr>
          <w:ilvl w:val="0"/>
          <w:numId w:val="2"/>
        </w:numPr>
        <w:spacing w:after="0" w:line="270" w:lineRule="atLeast"/>
        <w:ind w:left="75"/>
        <w:rPr>
          <w:rFonts w:ascii="inherit" w:eastAsia="Times New Roman" w:hAnsi="inherit" w:cs="Times New Roman"/>
          <w:color w:val="808080"/>
          <w:sz w:val="20"/>
          <w:szCs w:val="20"/>
        </w:rPr>
      </w:pPr>
      <w:hyperlink r:id="rId10" w:anchor="profile" w:history="1">
        <w:r w:rsidRPr="00B67784">
          <w:rPr>
            <w:rFonts w:ascii="inherit" w:eastAsia="Times New Roman" w:hAnsi="inherit" w:cs="Times New Roman"/>
            <w:color w:val="0069D6"/>
            <w:sz w:val="20"/>
            <w:szCs w:val="20"/>
            <w:u w:val="single"/>
            <w:bdr w:val="none" w:sz="0" w:space="0" w:color="auto" w:frame="1"/>
          </w:rPr>
          <w:t>Profile</w:t>
        </w:r>
      </w:hyperlink>
    </w:p>
    <w:p w14:paraId="2CA2B315" w14:textId="77777777" w:rsidR="00B67784" w:rsidRPr="00B67784" w:rsidRDefault="00B67784" w:rsidP="00B67784">
      <w:pPr>
        <w:numPr>
          <w:ilvl w:val="0"/>
          <w:numId w:val="2"/>
        </w:numPr>
        <w:spacing w:after="0" w:line="270" w:lineRule="atLeast"/>
        <w:ind w:left="30"/>
        <w:rPr>
          <w:rFonts w:ascii="inherit" w:eastAsia="Times New Roman" w:hAnsi="inherit" w:cs="Times New Roman"/>
          <w:color w:val="808080"/>
          <w:sz w:val="20"/>
          <w:szCs w:val="20"/>
        </w:rPr>
      </w:pPr>
      <w:hyperlink r:id="rId11" w:anchor="help" w:history="1">
        <w:r w:rsidRPr="00B67784">
          <w:rPr>
            <w:rFonts w:ascii="inherit" w:eastAsia="Times New Roman" w:hAnsi="inherit" w:cs="Times New Roman"/>
            <w:color w:val="0069D6"/>
            <w:sz w:val="20"/>
            <w:szCs w:val="20"/>
            <w:u w:val="single"/>
            <w:bdr w:val="none" w:sz="0" w:space="0" w:color="auto" w:frame="1"/>
          </w:rPr>
          <w:t>Help</w:t>
        </w:r>
      </w:hyperlink>
    </w:p>
    <w:p w14:paraId="78BCED97" w14:textId="77777777" w:rsidR="00B67784" w:rsidRPr="00B67784" w:rsidRDefault="00B67784" w:rsidP="00B67784">
      <w:pPr>
        <w:spacing w:after="270" w:line="750" w:lineRule="atLeast"/>
        <w:jc w:val="center"/>
        <w:outlineLvl w:val="0"/>
        <w:rPr>
          <w:rFonts w:ascii="inherit" w:eastAsia="Times New Roman" w:hAnsi="inherit" w:cs="Times New Roman"/>
          <w:b/>
          <w:bCs/>
          <w:color w:val="EFEFEF"/>
          <w:kern w:val="36"/>
          <w:sz w:val="26"/>
          <w:szCs w:val="26"/>
        </w:rPr>
      </w:pPr>
      <w:r w:rsidRPr="00B67784">
        <w:rPr>
          <w:rFonts w:ascii="inherit" w:eastAsia="Times New Roman" w:hAnsi="inherit" w:cs="Times New Roman"/>
          <w:b/>
          <w:bCs/>
          <w:color w:val="EFEFEF"/>
          <w:kern w:val="36"/>
          <w:sz w:val="26"/>
          <w:szCs w:val="26"/>
        </w:rPr>
        <w:lastRenderedPageBreak/>
        <w:t>5.1 Animism, Shamanism, and Paganism (</w:t>
      </w:r>
      <w:proofErr w:type="spellStart"/>
      <w:r w:rsidRPr="00B67784">
        <w:rPr>
          <w:rFonts w:ascii="inherit" w:eastAsia="Times New Roman" w:hAnsi="inherit" w:cs="Times New Roman"/>
          <w:b/>
          <w:bCs/>
          <w:color w:val="EFEFEF"/>
          <w:kern w:val="36"/>
          <w:sz w:val="26"/>
          <w:szCs w:val="26"/>
        </w:rPr>
        <w:t>fr</w:t>
      </w:r>
      <w:proofErr w:type="spellEnd"/>
      <w:r w:rsidRPr="00B67784">
        <w:rPr>
          <w:rFonts w:ascii="inherit" w:eastAsia="Times New Roman" w:hAnsi="inherit" w:cs="Times New Roman"/>
          <w:b/>
          <w:bCs/>
          <w:color w:val="EFEFEF"/>
          <w:kern w:val="36"/>
          <w:sz w:val="26"/>
          <w:szCs w:val="26"/>
        </w:rPr>
        <w:t>…</w:t>
      </w:r>
    </w:p>
    <w:p w14:paraId="02F3A635" w14:textId="77777777" w:rsidR="00B67784" w:rsidRPr="00B67784" w:rsidRDefault="00B67784" w:rsidP="00B67784">
      <w:pPr>
        <w:shd w:val="clear" w:color="auto" w:fill="EDECE5"/>
        <w:spacing w:after="0" w:line="240" w:lineRule="auto"/>
        <w:rPr>
          <w:rFonts w:ascii="Times New Roman" w:eastAsia="Times New Roman" w:hAnsi="Times New Roman" w:cs="Times New Roman"/>
          <w:sz w:val="24"/>
          <w:szCs w:val="24"/>
        </w:rPr>
      </w:pPr>
      <w:hyperlink r:id="rId12" w:tooltip="[PrevSection]" w:history="1">
        <w:r w:rsidRPr="00B67784">
          <w:rPr>
            <w:rFonts w:ascii="inherit" w:eastAsia="Times New Roman" w:hAnsi="inherit" w:cs="Times New Roman"/>
            <w:color w:val="0069D6"/>
            <w:sz w:val="20"/>
            <w:szCs w:val="20"/>
            <w:u w:val="single"/>
            <w:bdr w:val="none" w:sz="0" w:space="0" w:color="auto" w:frame="1"/>
          </w:rPr>
          <w:t>Previous section</w:t>
        </w:r>
      </w:hyperlink>
    </w:p>
    <w:p w14:paraId="583BE58B" w14:textId="77777777" w:rsidR="00B67784" w:rsidRPr="00B67784" w:rsidRDefault="00B67784" w:rsidP="00B67784">
      <w:pPr>
        <w:shd w:val="clear" w:color="auto" w:fill="EDECE5"/>
        <w:spacing w:after="0" w:line="240" w:lineRule="auto"/>
        <w:rPr>
          <w:rFonts w:ascii="Times New Roman" w:eastAsia="Times New Roman" w:hAnsi="Times New Roman" w:cs="Times New Roman"/>
          <w:sz w:val="24"/>
          <w:szCs w:val="24"/>
        </w:rPr>
      </w:pPr>
      <w:hyperlink r:id="rId13" w:tooltip="Next Section" w:history="1">
        <w:r w:rsidRPr="00B67784">
          <w:rPr>
            <w:rFonts w:ascii="inherit" w:eastAsia="Times New Roman" w:hAnsi="inherit" w:cs="Times New Roman"/>
            <w:color w:val="0069D6"/>
            <w:sz w:val="20"/>
            <w:szCs w:val="20"/>
            <w:u w:val="single"/>
            <w:bdr w:val="none" w:sz="0" w:space="0" w:color="auto" w:frame="1"/>
          </w:rPr>
          <w:t>Next section</w:t>
        </w:r>
      </w:hyperlink>
    </w:p>
    <w:p w14:paraId="0CE1D85F" w14:textId="77777777" w:rsidR="00B67784" w:rsidRPr="00B67784" w:rsidRDefault="00B67784" w:rsidP="00B67784">
      <w:pPr>
        <w:spacing w:before="30" w:after="288" w:line="240" w:lineRule="auto"/>
        <w:jc w:val="center"/>
        <w:rPr>
          <w:rFonts w:ascii="Cambria" w:eastAsia="Times New Roman" w:hAnsi="Cambria" w:cs="Times New Roman"/>
          <w:b/>
          <w:bCs/>
          <w:color w:val="000000"/>
          <w:sz w:val="36"/>
          <w:szCs w:val="36"/>
        </w:rPr>
      </w:pPr>
      <w:r w:rsidRPr="00B67784">
        <w:rPr>
          <w:rFonts w:ascii="Cambria" w:eastAsia="Times New Roman" w:hAnsi="Cambria" w:cs="Times New Roman"/>
          <w:b/>
          <w:bCs/>
          <w:color w:val="000000"/>
          <w:sz w:val="36"/>
          <w:szCs w:val="36"/>
        </w:rPr>
        <w:t>5.1 Animism, Shamanism, and Paganism (from 40,000 BCE)</w:t>
      </w:r>
    </w:p>
    <w:p w14:paraId="4F367AF2" w14:textId="77777777" w:rsidR="00B67784" w:rsidRPr="00B67784" w:rsidRDefault="00B67784" w:rsidP="00B67784">
      <w:pPr>
        <w:shd w:val="clear" w:color="auto" w:fill="FFFFFF"/>
        <w:spacing w:after="240" w:line="240" w:lineRule="auto"/>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Religious beliefs clearly predate writing, and both archaeological evidence and studies of more recent nonliterate cultures around the worldindicate that concepts of the supernatural pervaded all aspects of life: hunting, planting, sexual intercourse, birth, death, and naturaloccurrences such as eclipses, comets, or rainbows, all had religious meaning. Special rituals attached to these events involved men andwomen, but generally not on an equal basis; some rituals excluded women, while others excluded men. In some cultures certain ritualsappear to have been conducted by individuals of an indeterminate or mixed gender, such as two-spirit people in North America, the hijras inIndia, or the bissu in Indonesia. Along with rituals, certain objects came to have a religious function; they were worn, carried, or viewed, andoften represented men or women, or male or female spirits and divinities, engaged in various activities.</w:t>
      </w:r>
    </w:p>
    <w:p w14:paraId="781765DC" w14:textId="77777777" w:rsidR="00B67784" w:rsidRPr="00B67784" w:rsidRDefault="00B67784" w:rsidP="00B67784">
      <w:pPr>
        <w:shd w:val="clear" w:color="auto" w:fill="FFFFFF"/>
        <w:spacing w:after="24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Interpreting archaeological evidence about the earliest human belief systems is often very difficult. For example, small stone statues ofwomen with enlarged breasts dating from the Paleolithic period (roughly 40,000–8,000 BEC) have been found in many parts of Europe. Suchstatues, dubbed “Venus figures,” provoke more questions than answers: Are they aids to fertility, carried around by women hoping to have achild–or perhaps hoping not to have another–and then discarded in the household debris where they have been most commonly found? Arethey fertility goddesses, evidence of people’s beliefs in a powerful female deity? If they are, did this translate into power and authority for realwomen? (They are one of the sources used for the theory of primitive matriarchy discussed in chapter 1, though images of individual womenor female deities are often found in cultures that deny women official religious or other types of authority; the Blessed Virgin Mary, forexample, has been one of the most common images in Christianity since the fifth century, though women have until recently been excludedfrom the priesthood in all Christian denominations.) Or do such images represent the objectification and subordination of women, aconclusion drawn from the fact that many of them have no facial features, with some being little more than sticks with breasts, reminding oneof the numerous images of large-breasted women in certain contemporary magazines? If they do, were they carried around by men? Mightthey have represented different things to different people? Like so much Paleolithic evidence, Venus figurines provide tantalizing evidenceabout early human cultures, but evidence that is not easy to interpret.</w:t>
      </w:r>
    </w:p>
    <w:p w14:paraId="34ABA1DB" w14:textId="77777777" w:rsidR="00B67784" w:rsidRPr="00B67784" w:rsidRDefault="00B67784" w:rsidP="00B67784">
      <w:pPr>
        <w:shd w:val="clear" w:color="auto" w:fill="FFFFFF"/>
        <w:spacing w:after="24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Understanding the gender implications of post-Paleolithic religions that have been transmitted largely through oral tradition may also beq</w:t>
      </w:r>
      <w:r w:rsidRPr="00B67784">
        <w:rPr>
          <w:rFonts w:ascii="Cambria" w:eastAsia="Times New Roman" w:hAnsi="Cambria" w:cs="Times New Roman"/>
          <w:color w:val="000000"/>
          <w:sz w:val="24"/>
          <w:szCs w:val="24"/>
        </w:rPr>
        <w:lastRenderedPageBreak/>
        <w:t>uite difficult. Such religions are often labeled shamanism, tribal religions, paganism, traditional religions, or animism, and underlying manyof them was a conception of the universe as divided between a visible world of the living and an unseen world of spirits, the gods, and thedead. The unseen world regularly intervened in the visible world, for good and ill, and communicated through messages and revelations sentto spiritually adept individuals or to ordinary people through dreams and portents. Conversely, the actions of dead ancestors, spirits, andgods could be shaped by living people. The rituals and medicines through which shamans and healers operated were often a closely guardedsecret, passed down orally from one individual to another, so that it is difficult to gain information about them. Much of our informationcomes from outsiders who were (and are) hostile to animistic religions, and whose own ideas about gender influenced what they saw andreported. Thus European missionaries and officials in nineteenth-century Africa, for example, paid more attention to traditional religiousactivities carried out by men and neglected those carried out by women because they assumed male activities were more important, just asthey were in their own Christianity.</w:t>
      </w:r>
    </w:p>
    <w:p w14:paraId="376D2EFE" w14:textId="77777777" w:rsidR="00B67784" w:rsidRPr="00B67784" w:rsidRDefault="00B67784" w:rsidP="00B67784">
      <w:pPr>
        <w:shd w:val="clear" w:color="auto" w:fill="FFFFFF"/>
        <w:spacing w:after="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It may also be misleading to assume that religious activities carried out today or in the recent past are the same as those from centuries oreven decades ago. Tradition is far less static than we often think, with new ideas or activities described as “traditional” in order to give themvalidity an authority. The </w:t>
      </w:r>
      <w:r w:rsidRPr="00B67784">
        <w:rPr>
          <w:rFonts w:ascii="inherit" w:eastAsia="Times New Roman" w:hAnsi="inherit" w:cs="Times New Roman"/>
          <w:i/>
          <w:iCs/>
          <w:color w:val="000000"/>
          <w:sz w:val="24"/>
          <w:szCs w:val="24"/>
          <w:bdr w:val="none" w:sz="0" w:space="0" w:color="auto" w:frame="1"/>
        </w:rPr>
        <w:t>zar</w:t>
      </w:r>
      <w:r w:rsidRPr="00B67784">
        <w:rPr>
          <w:rFonts w:ascii="Cambria" w:eastAsia="Times New Roman" w:hAnsi="Cambria" w:cs="Times New Roman"/>
          <w:color w:val="000000"/>
          <w:sz w:val="24"/>
          <w:szCs w:val="24"/>
        </w:rPr>
        <w:t> cult in North Africa and the Middle East, for example, in which spirits known as </w:t>
      </w:r>
      <w:r w:rsidRPr="00B67784">
        <w:rPr>
          <w:rFonts w:ascii="inherit" w:eastAsia="Times New Roman" w:hAnsi="inherit" w:cs="Times New Roman"/>
          <w:i/>
          <w:iCs/>
          <w:color w:val="000000"/>
          <w:sz w:val="24"/>
          <w:szCs w:val="24"/>
          <w:bdr w:val="none" w:sz="0" w:space="0" w:color="auto" w:frame="1"/>
        </w:rPr>
        <w:t>zar</w:t>
      </w:r>
      <w:r w:rsidRPr="00B67784">
        <w:rPr>
          <w:rFonts w:ascii="Cambria" w:eastAsia="Times New Roman" w:hAnsi="Cambria" w:cs="Times New Roman"/>
          <w:color w:val="000000"/>
          <w:sz w:val="24"/>
          <w:szCs w:val="24"/>
        </w:rPr>
        <w:t> make women ill and can onlybe tamed by female healers, developed first in the eighteenth century and continues to be very forceful over a wide area today; though it isoften labeled “traditional,” it grew as a form of religious practice for women only at about the same time that Islam began to provide morepublic worship opportunities for men, and some analysts see the two as clearly related.</w:t>
      </w:r>
    </w:p>
    <w:p w14:paraId="72B09758" w14:textId="77777777" w:rsidR="00B67784" w:rsidRPr="00B67784" w:rsidRDefault="00B67784" w:rsidP="00B67784">
      <w:pPr>
        <w:shd w:val="clear" w:color="auto" w:fill="FFFFFF"/>
        <w:spacing w:after="24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Despite great variety, in terms of gender traditional religions often exhibit certain similarities, particularly in contrast to text-basedreligions. The power to communicate with and influence the spirits is generally regarded as a natural gift rather than something obtainedthrough formal education or a position in a hierarchy, so that women as well as men in many cultures acted (and continue to act) as spiritmediums, shamans, healers, or other types of religious specialists. The Yoruba of West Africa, for example, under- stood certain women tohave Àjé, strong spiritual power that connected with cosmic creativity and worked as a force for social justice; they brought this power withthem when they were taken as slaves to the New World and used it in harming and healing rituals. Communication with the unseen worldwas sometimes done through group activities, which could serve as a source of power for participants. Among the Anlo of what is now Ghana,for example, young women joined the Nyigbla and later Yewe religious orders because these provided support for their own marital choicesand rights to property after marriage.</w:t>
      </w:r>
    </w:p>
    <w:p w14:paraId="7BAAF956" w14:textId="77777777" w:rsidR="00B67784" w:rsidRPr="00B67784" w:rsidRDefault="00B67784" w:rsidP="00B67784">
      <w:pPr>
        <w:shd w:val="clear" w:color="auto" w:fill="FFFFFF"/>
        <w:spacing w:after="24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People judged religious rituals by how well they worked to solve problems or maintain the normal order, and often consulted a number ofreligious specialists if they had special needs or requests, rather than staying with one individual or one sex. Sometimes spiritual power iseven unwanted or opposed by the individual to whom it comes, with the spirits causing demonic possession, visions, or illness over which theshaman had little control. The connection with the spirit world usually gave shamans the ability to do good or evil, with their </w:t>
      </w:r>
      <w:r w:rsidRPr="00B67784">
        <w:rPr>
          <w:rFonts w:ascii="Cambria" w:eastAsia="Times New Roman" w:hAnsi="Cambria" w:cs="Times New Roman"/>
          <w:color w:val="000000"/>
          <w:sz w:val="24"/>
          <w:szCs w:val="24"/>
        </w:rPr>
        <w:lastRenderedPageBreak/>
        <w:t>evil activitieslabeled black magic or witchcraft by those outside their tradition. Often their powers were related to gender-specific areas of life, such asmenstruation, childbirth, coming of age in men and women, or certain work activities, but some shamans were so powerful that theytranscended gender roles and could influence the entire spirit world. The more gender-egalitarian nature of animism has made it popularwithin the last several decades among people who view most text-based religions as hopelessly patriarchal. They have drawn eclecticallyfrom a number of sources–Native American and African religions, the pagan deities of Europe (especially the Great Goddess), non-diabolicwitchcraft, psychological theory–to create new types of rituals and organizations, often labeled “neopagan” or “New Age.” Some of thesegroups are explicitly feminist or Womanist (a movement which developed among black women), interpreting ambiguous feminine imageryfrom many traditions in ways that empower women, and many emphasize environmentalism or ongoing revelation or communication withthe dead.</w:t>
      </w:r>
    </w:p>
    <w:p w14:paraId="692C4782" w14:textId="77777777" w:rsidR="00B67784" w:rsidRPr="00B67784" w:rsidRDefault="00B67784" w:rsidP="00B67784">
      <w:pPr>
        <w:shd w:val="clear" w:color="auto" w:fill="FFFFFF"/>
        <w:spacing w:after="24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In some instances, the followers of shamans regarded their power as offering protection from material as well as spiritual dangers. In 1987,for example, Alice Lakwena, a religious leader called the Messiah by her followers, raised an army called the “Holy Spirit Mobile Forces” whichopposed the National Resistance Army of Uganda armed mainly with charms of snake bone, beeswax, and shea nut oil provided by Lakwena.They believed these charms would turn into weapons or provide protection against bullets, following a long line of groups in many religioustraditions that have regarded spiritual armor as more important than physical. Because her followers saw her as divinely inspired, the factthat Lakwena was a woman did not affect their loyalty to her, a situation that also shaped people’s responses to the fifteenth- century Frenchmystic and military leader Joan of Arc. Spiritual or divine inspiration could be a source of power for women even in religions with strongformal patriarchal hierarchies, though this was often regarded with skepticism or hostility by those with official religious positions; bothAlice Lakwena and Joan of Arc were charged with witchcraft by men who opposed their power.</w:t>
      </w:r>
    </w:p>
    <w:p w14:paraId="62C03C63" w14:textId="77777777" w:rsidR="00B67784" w:rsidRPr="00B67784" w:rsidRDefault="00B67784" w:rsidP="00B67784">
      <w:pPr>
        <w:numPr>
          <w:ilvl w:val="0"/>
          <w:numId w:val="3"/>
        </w:numPr>
        <w:spacing w:after="0" w:line="270" w:lineRule="atLeast"/>
        <w:ind w:left="0"/>
        <w:rPr>
          <w:rFonts w:ascii="inherit" w:eastAsia="Times New Roman" w:hAnsi="inherit" w:cs="Times New Roman"/>
          <w:color w:val="808080"/>
          <w:sz w:val="20"/>
          <w:szCs w:val="20"/>
        </w:rPr>
      </w:pPr>
      <w:hyperlink r:id="rId14" w:history="1">
        <w:r w:rsidRPr="00B67784">
          <w:rPr>
            <w:rFonts w:ascii="inherit" w:eastAsia="Times New Roman" w:hAnsi="inherit" w:cs="Times New Roman"/>
            <w:color w:val="0069D6"/>
            <w:sz w:val="20"/>
            <w:szCs w:val="20"/>
            <w:u w:val="single"/>
            <w:bdr w:val="none" w:sz="0" w:space="0" w:color="auto" w:frame="1"/>
          </w:rPr>
          <w:t>Notebook</w:t>
        </w:r>
      </w:hyperlink>
    </w:p>
    <w:p w14:paraId="179353F1" w14:textId="77777777" w:rsidR="00B67784" w:rsidRPr="00B67784" w:rsidRDefault="00B67784" w:rsidP="00B67784">
      <w:pPr>
        <w:numPr>
          <w:ilvl w:val="0"/>
          <w:numId w:val="4"/>
        </w:numPr>
        <w:spacing w:after="0" w:line="270" w:lineRule="atLeast"/>
        <w:ind w:left="0"/>
        <w:rPr>
          <w:rFonts w:ascii="inherit" w:eastAsia="Times New Roman" w:hAnsi="inherit" w:cs="Times New Roman"/>
          <w:color w:val="808080"/>
          <w:sz w:val="20"/>
          <w:szCs w:val="20"/>
        </w:rPr>
      </w:pPr>
      <w:hyperlink r:id="rId15" w:history="1">
        <w:r w:rsidRPr="00B67784">
          <w:rPr>
            <w:rFonts w:ascii="inherit" w:eastAsia="Times New Roman" w:hAnsi="inherit" w:cs="Times New Roman"/>
            <w:color w:val="0069D6"/>
            <w:sz w:val="20"/>
            <w:szCs w:val="20"/>
            <w:u w:val="single"/>
            <w:bdr w:val="none" w:sz="0" w:space="0" w:color="auto" w:frame="1"/>
          </w:rPr>
          <w:t>My Bookshelf</w:t>
        </w:r>
      </w:hyperlink>
    </w:p>
    <w:p w14:paraId="0A080225" w14:textId="77777777" w:rsidR="00B67784" w:rsidRPr="00B67784" w:rsidRDefault="00B67784" w:rsidP="00B67784">
      <w:pPr>
        <w:numPr>
          <w:ilvl w:val="0"/>
          <w:numId w:val="4"/>
        </w:numPr>
        <w:spacing w:after="0" w:line="270" w:lineRule="atLeast"/>
        <w:ind w:left="0"/>
        <w:rPr>
          <w:rFonts w:ascii="inherit" w:eastAsia="Times New Roman" w:hAnsi="inherit" w:cs="Times New Roman"/>
          <w:color w:val="808080"/>
          <w:sz w:val="20"/>
          <w:szCs w:val="20"/>
        </w:rPr>
      </w:pPr>
      <w:hyperlink r:id="rId16" w:anchor="toc" w:history="1">
        <w:r w:rsidRPr="00B67784">
          <w:rPr>
            <w:rFonts w:ascii="inherit" w:eastAsia="Times New Roman" w:hAnsi="inherit" w:cs="Times New Roman"/>
            <w:color w:val="0069D6"/>
            <w:sz w:val="20"/>
            <w:szCs w:val="20"/>
            <w:u w:val="single"/>
            <w:bdr w:val="none" w:sz="0" w:space="0" w:color="auto" w:frame="1"/>
          </w:rPr>
          <w:t>TOC/Annotation menu</w:t>
        </w:r>
      </w:hyperlink>
    </w:p>
    <w:p w14:paraId="704704C1" w14:textId="77777777" w:rsidR="00B67784" w:rsidRPr="00B67784" w:rsidRDefault="00B67784" w:rsidP="00B67784">
      <w:pPr>
        <w:numPr>
          <w:ilvl w:val="0"/>
          <w:numId w:val="5"/>
        </w:numPr>
        <w:spacing w:after="0" w:line="270" w:lineRule="atLeast"/>
        <w:ind w:left="0"/>
        <w:rPr>
          <w:rFonts w:ascii="inherit" w:eastAsia="Times New Roman" w:hAnsi="inherit" w:cs="Times New Roman"/>
          <w:color w:val="808080"/>
          <w:sz w:val="20"/>
          <w:szCs w:val="20"/>
        </w:rPr>
      </w:pPr>
      <w:hyperlink r:id="rId17" w:anchor="options" w:history="1">
        <w:r w:rsidRPr="00B67784">
          <w:rPr>
            <w:rFonts w:ascii="inherit" w:eastAsia="Times New Roman" w:hAnsi="inherit" w:cs="Times New Roman"/>
            <w:color w:val="0069D6"/>
            <w:sz w:val="20"/>
            <w:szCs w:val="20"/>
            <w:u w:val="single"/>
            <w:bdr w:val="none" w:sz="0" w:space="0" w:color="auto" w:frame="1"/>
          </w:rPr>
          <w:t>Downloads</w:t>
        </w:r>
      </w:hyperlink>
    </w:p>
    <w:p w14:paraId="6F8E4C9B" w14:textId="77777777" w:rsidR="00B67784" w:rsidRPr="00B67784" w:rsidRDefault="00B67784" w:rsidP="00B67784">
      <w:pPr>
        <w:numPr>
          <w:ilvl w:val="0"/>
          <w:numId w:val="5"/>
        </w:numPr>
        <w:spacing w:after="0" w:line="270" w:lineRule="atLeast"/>
        <w:ind w:left="0"/>
        <w:rPr>
          <w:rFonts w:ascii="inherit" w:eastAsia="Times New Roman" w:hAnsi="inherit" w:cs="Times New Roman"/>
          <w:color w:val="808080"/>
          <w:sz w:val="20"/>
          <w:szCs w:val="20"/>
        </w:rPr>
      </w:pPr>
      <w:hyperlink r:id="rId18" w:history="1">
        <w:r w:rsidRPr="00B67784">
          <w:rPr>
            <w:rFonts w:ascii="inherit" w:eastAsia="Times New Roman" w:hAnsi="inherit" w:cs="Times New Roman"/>
            <w:color w:val="0069D6"/>
            <w:sz w:val="20"/>
            <w:szCs w:val="20"/>
            <w:u w:val="single"/>
            <w:bdr w:val="none" w:sz="0" w:space="0" w:color="auto" w:frame="1"/>
          </w:rPr>
          <w:t>Print</w:t>
        </w:r>
      </w:hyperlink>
    </w:p>
    <w:p w14:paraId="411DD71C" w14:textId="77777777" w:rsidR="00B67784" w:rsidRPr="00B67784" w:rsidRDefault="00B67784" w:rsidP="00B67784">
      <w:pPr>
        <w:numPr>
          <w:ilvl w:val="0"/>
          <w:numId w:val="5"/>
        </w:numPr>
        <w:spacing w:after="0" w:line="270" w:lineRule="atLeast"/>
        <w:ind w:left="0"/>
        <w:rPr>
          <w:rFonts w:ascii="inherit" w:eastAsia="Times New Roman" w:hAnsi="inherit" w:cs="Times New Roman"/>
          <w:color w:val="808080"/>
          <w:sz w:val="20"/>
          <w:szCs w:val="20"/>
        </w:rPr>
      </w:pPr>
      <w:hyperlink r:id="rId19" w:anchor="search" w:history="1">
        <w:r w:rsidRPr="00B67784">
          <w:rPr>
            <w:rFonts w:ascii="inherit" w:eastAsia="Times New Roman" w:hAnsi="inherit" w:cs="Times New Roman"/>
            <w:color w:val="0069D6"/>
            <w:sz w:val="20"/>
            <w:szCs w:val="20"/>
            <w:u w:val="single"/>
            <w:bdr w:val="none" w:sz="0" w:space="0" w:color="auto" w:frame="1"/>
          </w:rPr>
          <w:t>Search</w:t>
        </w:r>
      </w:hyperlink>
    </w:p>
    <w:p w14:paraId="30D2304E" w14:textId="77777777" w:rsidR="00B67784" w:rsidRPr="00B67784" w:rsidRDefault="00B67784" w:rsidP="00B67784">
      <w:pPr>
        <w:numPr>
          <w:ilvl w:val="0"/>
          <w:numId w:val="5"/>
        </w:numPr>
        <w:spacing w:after="0" w:line="270" w:lineRule="atLeast"/>
        <w:ind w:left="75"/>
        <w:rPr>
          <w:rFonts w:ascii="inherit" w:eastAsia="Times New Roman" w:hAnsi="inherit" w:cs="Times New Roman"/>
          <w:color w:val="808080"/>
          <w:sz w:val="20"/>
          <w:szCs w:val="20"/>
        </w:rPr>
      </w:pPr>
      <w:hyperlink r:id="rId20" w:anchor="profile" w:history="1">
        <w:r w:rsidRPr="00B67784">
          <w:rPr>
            <w:rFonts w:ascii="inherit" w:eastAsia="Times New Roman" w:hAnsi="inherit" w:cs="Times New Roman"/>
            <w:color w:val="0069D6"/>
            <w:sz w:val="20"/>
            <w:szCs w:val="20"/>
            <w:u w:val="single"/>
            <w:bdr w:val="none" w:sz="0" w:space="0" w:color="auto" w:frame="1"/>
          </w:rPr>
          <w:t>Profile</w:t>
        </w:r>
      </w:hyperlink>
    </w:p>
    <w:p w14:paraId="0A93DFBB" w14:textId="77777777" w:rsidR="00B67784" w:rsidRPr="00B67784" w:rsidRDefault="00B67784" w:rsidP="00B67784">
      <w:pPr>
        <w:numPr>
          <w:ilvl w:val="0"/>
          <w:numId w:val="5"/>
        </w:numPr>
        <w:spacing w:after="0" w:line="270" w:lineRule="atLeast"/>
        <w:ind w:left="30"/>
        <w:rPr>
          <w:rFonts w:ascii="inherit" w:eastAsia="Times New Roman" w:hAnsi="inherit" w:cs="Times New Roman"/>
          <w:color w:val="808080"/>
          <w:sz w:val="20"/>
          <w:szCs w:val="20"/>
        </w:rPr>
      </w:pPr>
      <w:hyperlink r:id="rId21" w:anchor="help" w:history="1">
        <w:r w:rsidRPr="00B67784">
          <w:rPr>
            <w:rFonts w:ascii="inherit" w:eastAsia="Times New Roman" w:hAnsi="inherit" w:cs="Times New Roman"/>
            <w:color w:val="0069D6"/>
            <w:sz w:val="20"/>
            <w:szCs w:val="20"/>
            <w:u w:val="single"/>
            <w:bdr w:val="none" w:sz="0" w:space="0" w:color="auto" w:frame="1"/>
          </w:rPr>
          <w:t>Help</w:t>
        </w:r>
      </w:hyperlink>
    </w:p>
    <w:p w14:paraId="65FAAFAB" w14:textId="77777777" w:rsidR="00B67784" w:rsidRPr="00B67784" w:rsidRDefault="00B67784" w:rsidP="00B67784">
      <w:pPr>
        <w:spacing w:after="270" w:line="750" w:lineRule="atLeast"/>
        <w:jc w:val="center"/>
        <w:outlineLvl w:val="0"/>
        <w:rPr>
          <w:rFonts w:ascii="inherit" w:eastAsia="Times New Roman" w:hAnsi="inherit" w:cs="Times New Roman"/>
          <w:b/>
          <w:bCs/>
          <w:color w:val="EFEFEF"/>
          <w:kern w:val="36"/>
          <w:sz w:val="26"/>
          <w:szCs w:val="26"/>
        </w:rPr>
      </w:pPr>
      <w:r w:rsidRPr="00B67784">
        <w:rPr>
          <w:rFonts w:ascii="inherit" w:eastAsia="Times New Roman" w:hAnsi="inherit" w:cs="Times New Roman"/>
          <w:b/>
          <w:bCs/>
          <w:color w:val="EFEFEF"/>
          <w:kern w:val="36"/>
          <w:sz w:val="26"/>
          <w:szCs w:val="26"/>
        </w:rPr>
        <w:t xml:space="preserve">5.2 Written Religions in the Ancient </w:t>
      </w:r>
      <w:proofErr w:type="spellStart"/>
      <w:r w:rsidRPr="00B67784">
        <w:rPr>
          <w:rFonts w:ascii="inherit" w:eastAsia="Times New Roman" w:hAnsi="inherit" w:cs="Times New Roman"/>
          <w:b/>
          <w:bCs/>
          <w:color w:val="EFEFEF"/>
          <w:kern w:val="36"/>
          <w:sz w:val="26"/>
          <w:szCs w:val="26"/>
        </w:rPr>
        <w:t>Nea</w:t>
      </w:r>
      <w:proofErr w:type="spellEnd"/>
      <w:r w:rsidRPr="00B67784">
        <w:rPr>
          <w:rFonts w:ascii="inherit" w:eastAsia="Times New Roman" w:hAnsi="inherit" w:cs="Times New Roman"/>
          <w:b/>
          <w:bCs/>
          <w:color w:val="EFEFEF"/>
          <w:kern w:val="36"/>
          <w:sz w:val="26"/>
          <w:szCs w:val="26"/>
        </w:rPr>
        <w:t>…</w:t>
      </w:r>
    </w:p>
    <w:p w14:paraId="5D322FCD" w14:textId="77777777" w:rsidR="00B67784" w:rsidRPr="00B67784" w:rsidRDefault="00B67784" w:rsidP="00B67784">
      <w:pPr>
        <w:shd w:val="clear" w:color="auto" w:fill="EDECE5"/>
        <w:spacing w:after="0" w:line="240" w:lineRule="auto"/>
        <w:rPr>
          <w:rFonts w:ascii="Times New Roman" w:eastAsia="Times New Roman" w:hAnsi="Times New Roman" w:cs="Times New Roman"/>
          <w:sz w:val="24"/>
          <w:szCs w:val="24"/>
        </w:rPr>
      </w:pPr>
      <w:hyperlink r:id="rId22" w:tooltip="[PrevSection]" w:history="1">
        <w:r w:rsidRPr="00B67784">
          <w:rPr>
            <w:rFonts w:ascii="inherit" w:eastAsia="Times New Roman" w:hAnsi="inherit" w:cs="Times New Roman"/>
            <w:color w:val="0069D6"/>
            <w:sz w:val="20"/>
            <w:szCs w:val="20"/>
            <w:u w:val="single"/>
            <w:bdr w:val="none" w:sz="0" w:space="0" w:color="auto" w:frame="1"/>
          </w:rPr>
          <w:t>Previous section</w:t>
        </w:r>
      </w:hyperlink>
    </w:p>
    <w:p w14:paraId="6960AEE6" w14:textId="77777777" w:rsidR="00B67784" w:rsidRPr="00B67784" w:rsidRDefault="00B67784" w:rsidP="00B67784">
      <w:pPr>
        <w:shd w:val="clear" w:color="auto" w:fill="EDECE5"/>
        <w:spacing w:after="0" w:line="240" w:lineRule="auto"/>
        <w:rPr>
          <w:rFonts w:ascii="Times New Roman" w:eastAsia="Times New Roman" w:hAnsi="Times New Roman" w:cs="Times New Roman"/>
          <w:sz w:val="24"/>
          <w:szCs w:val="24"/>
        </w:rPr>
      </w:pPr>
      <w:hyperlink r:id="rId23" w:tooltip="Next Section" w:history="1">
        <w:r w:rsidRPr="00B67784">
          <w:rPr>
            <w:rFonts w:ascii="inherit" w:eastAsia="Times New Roman" w:hAnsi="inherit" w:cs="Times New Roman"/>
            <w:color w:val="0069D6"/>
            <w:sz w:val="20"/>
            <w:szCs w:val="20"/>
            <w:u w:val="single"/>
            <w:bdr w:val="none" w:sz="0" w:space="0" w:color="auto" w:frame="1"/>
          </w:rPr>
          <w:t>Next section</w:t>
        </w:r>
      </w:hyperlink>
    </w:p>
    <w:p w14:paraId="3D22AF2E" w14:textId="77777777" w:rsidR="00B67784" w:rsidRPr="00B67784" w:rsidRDefault="00B67784" w:rsidP="00B67784">
      <w:pPr>
        <w:spacing w:before="30" w:after="288" w:line="240" w:lineRule="auto"/>
        <w:jc w:val="center"/>
        <w:rPr>
          <w:rFonts w:ascii="Cambria" w:eastAsia="Times New Roman" w:hAnsi="Cambria" w:cs="Times New Roman"/>
          <w:b/>
          <w:bCs/>
          <w:color w:val="000000"/>
          <w:sz w:val="36"/>
          <w:szCs w:val="36"/>
        </w:rPr>
      </w:pPr>
      <w:r w:rsidRPr="00B67784">
        <w:rPr>
          <w:rFonts w:ascii="Cambria" w:eastAsia="Times New Roman" w:hAnsi="Cambria" w:cs="Times New Roman"/>
          <w:b/>
          <w:bCs/>
          <w:color w:val="000000"/>
          <w:sz w:val="36"/>
          <w:szCs w:val="36"/>
        </w:rPr>
        <w:lastRenderedPageBreak/>
        <w:t>5.2 Written Religions in the Ancient Near East (from 3000 BCE)</w:t>
      </w:r>
    </w:p>
    <w:p w14:paraId="76A75AB0" w14:textId="77777777" w:rsidR="00B67784" w:rsidRPr="00B67784" w:rsidRDefault="00B67784" w:rsidP="00B67784">
      <w:pPr>
        <w:shd w:val="clear" w:color="auto" w:fill="FFFFFF"/>
        <w:spacing w:after="240" w:line="240" w:lineRule="auto"/>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Many of the earliest human records are religious in nature, providing accounts of how the world began, describing the exploits of the gods,and setting up rules for human society. The writing systems of Mesopotamia and Egypt, the first cultures to develop writing, were extremelycomplex and took many years to learn, so that the ability to write was limited to a very small group of individuals. These individuals oftencame to have religious authority, and writing was regarded as in some ways a religious activity, recording the deeds of the gods and settingdown prayers and hymns. In the cities of Mesopotamia, the temple was also the economic authority, keeping tax records and organizing workalong with developing religious institutions; one performed one’s religious duties in Mesopotamia through labor as well as honoring the gods.The gods in Mesopotamia and Egypt included both male and female figures, as well as deities that were a combination of human and animal,but the religious personnel were predominantly male.</w:t>
      </w:r>
    </w:p>
    <w:p w14:paraId="0D4F101F" w14:textId="77777777" w:rsidR="00B67784" w:rsidRPr="00B67784" w:rsidRDefault="00B67784" w:rsidP="00B67784">
      <w:pPr>
        <w:shd w:val="clear" w:color="auto" w:fill="FFFFFF"/>
        <w:spacing w:after="24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Some scholars interpret archaeological evidence from the Near East as suggesting that sometime before the development of writing,animistic beliefs in many spirits were replaced by a religion centering on a mother goddess who gave birth to the world. By the time religiousdocuments were written down, however–beginning in the fourth millennium BCE–this account of creation had generally changed to onewhich emphasized the role of a male deity. In Babylon, this god was Marduk, who created the world by ripping open the body of Tiamat, agoddess with whom Marduk engaged in battle; Babylonian midwives were instructed to retell the story of Marduk to women in labor. For theancient Israelites, this god was Yahweh–or in the anglicized version, Jehovah–who created the world out of nothing, simply by the power ofhis own will. This creator god was to be served by male priests who staffed temples and other religious institutions, with women’s religiousactivities taking place predominantly at home and focused on rituals associated with family events, life passages such as birth and death, andhealing.</w:t>
      </w:r>
    </w:p>
    <w:p w14:paraId="2D2A243E" w14:textId="77777777" w:rsidR="00B67784" w:rsidRPr="00B67784" w:rsidRDefault="00B67784" w:rsidP="00B67784">
      <w:pPr>
        <w:shd w:val="clear" w:color="auto" w:fill="FFFFFF"/>
        <w:spacing w:after="24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Though the religion of the Israelites – Judaism – was similar to those of other Near Eastern groups in its male god and priests, in other waysit was very different. Yahweh is a single god, not surrounded by lesser gods and goddesses; there is thus no female divinity, thoughoccasionally aspects of God are described in feminine terms, such as Sophia, the wisdom of God. Though Yahweh is conceptualized asmasculine, he did not have sexual relations like Mesopotamian, Egyptian, or Greek male deities did, so that his masculinity was spiritualized,and human sexual relations were a source of ritual impurity. Despite this, sex itself was basically good because it was part of Yahweh’screation, and the bearing of children was seen in some ways as a religious function. In the codes of conduct written down in the Hebrew Bibleor Tanakh – which Christians adopted and later termed the “Old Testament” to parallel specific Christian writings termed the “NewTestament” – sex between a married woman and a man not her husband was termed an “abomination,” as were incest, bestiality, and sexbetween men. Men were free to have sexual relations with concubines, servants, and slaves, along with their wives, though a woman’s havingmany lovers – the usual word in English translations of Hebrew Scripture is “harlotry” – was often used as a metaphor for the Jewish people</w:t>
      </w:r>
      <w:r w:rsidRPr="00B67784">
        <w:rPr>
          <w:rFonts w:ascii="Cambria" w:eastAsia="Times New Roman" w:hAnsi="Cambria" w:cs="Times New Roman"/>
          <w:color w:val="000000"/>
          <w:sz w:val="24"/>
          <w:szCs w:val="24"/>
        </w:rPr>
        <w:lastRenderedPageBreak/>
        <w:t>’sturning away from their single god to worship numerous other deities (e.g., Leviticus 20.5-6; Jeremiah 3). The possibility of divorce was alsogender- specific: a man could divorce his wife unilaterally (though community norms frowned on divorce for frivolous reasons) while a wifecould not divorce her husband, even for desertion. In general Judaism frowned on celibacy – “chastity” is defined in Jewish law as refrainingfrom illicit sexual activities, not from sex itself – and almost all major Jewish thinkers and rabbis were married.</w:t>
      </w:r>
    </w:p>
    <w:p w14:paraId="44BD3417" w14:textId="77777777" w:rsidR="00B67784" w:rsidRPr="00B67784" w:rsidRDefault="00B67784" w:rsidP="00B67784">
      <w:pPr>
        <w:shd w:val="clear" w:color="auto" w:fill="FFFFFF"/>
        <w:spacing w:after="24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Religious leaders were important in Judaism, but not as important as the written texts which they interpreted; these texts came to beregarded as the word of Yahweh and thus had a status other writings did not. The most important task for observant Jews was studyingreligious texts, an activity limited to men until the twentieth century. Women were obliged to provide for men’s physical needs so that theycould study, which often meant that Jewish women were more active economically than their contemporaries of other religions; theirreligious rituals tended to center on the home, while men’s centered on the temple. This reverence for a particular text or group of texts waspassed down from Judaism to the other Western monotheistic religions which grew from it, Christianity and Islam, which gave (and give) thestatements about gender in these texts particular power. Those statements have been interpreted in various ways, however, and since the1970s some branches of Judaism have accepted female rabbis and teachers, changed the language of services somewhat, and developed newrituals. Women are increasingly active as interpreters of religious texts in the more liberal branches of Judaism, and there is enormousvariation within contemporary Judaism in terms of gender roles.</w:t>
      </w:r>
    </w:p>
    <w:p w14:paraId="298440D5" w14:textId="77777777" w:rsidR="00B67784" w:rsidRPr="00B67784" w:rsidRDefault="00B67784" w:rsidP="00B67784">
      <w:pPr>
        <w:numPr>
          <w:ilvl w:val="0"/>
          <w:numId w:val="6"/>
        </w:numPr>
        <w:spacing w:after="0" w:line="270" w:lineRule="atLeast"/>
        <w:ind w:left="0"/>
        <w:rPr>
          <w:rFonts w:ascii="inherit" w:eastAsia="Times New Roman" w:hAnsi="inherit" w:cs="Times New Roman"/>
          <w:color w:val="808080"/>
          <w:sz w:val="20"/>
          <w:szCs w:val="20"/>
        </w:rPr>
      </w:pPr>
      <w:hyperlink r:id="rId24" w:history="1">
        <w:r w:rsidRPr="00B67784">
          <w:rPr>
            <w:rFonts w:ascii="inherit" w:eastAsia="Times New Roman" w:hAnsi="inherit" w:cs="Times New Roman"/>
            <w:color w:val="0069D6"/>
            <w:sz w:val="20"/>
            <w:szCs w:val="20"/>
            <w:u w:val="single"/>
            <w:bdr w:val="none" w:sz="0" w:space="0" w:color="auto" w:frame="1"/>
          </w:rPr>
          <w:t>Notebook</w:t>
        </w:r>
      </w:hyperlink>
    </w:p>
    <w:p w14:paraId="29D18585" w14:textId="77777777" w:rsidR="00B67784" w:rsidRPr="00B67784" w:rsidRDefault="00B67784" w:rsidP="00B67784">
      <w:pPr>
        <w:numPr>
          <w:ilvl w:val="0"/>
          <w:numId w:val="7"/>
        </w:numPr>
        <w:spacing w:after="0" w:line="270" w:lineRule="atLeast"/>
        <w:ind w:left="0"/>
        <w:rPr>
          <w:rFonts w:ascii="inherit" w:eastAsia="Times New Roman" w:hAnsi="inherit" w:cs="Times New Roman"/>
          <w:color w:val="808080"/>
          <w:sz w:val="20"/>
          <w:szCs w:val="20"/>
        </w:rPr>
      </w:pPr>
      <w:hyperlink r:id="rId25" w:history="1">
        <w:r w:rsidRPr="00B67784">
          <w:rPr>
            <w:rFonts w:ascii="inherit" w:eastAsia="Times New Roman" w:hAnsi="inherit" w:cs="Times New Roman"/>
            <w:color w:val="0069D6"/>
            <w:sz w:val="20"/>
            <w:szCs w:val="20"/>
            <w:u w:val="single"/>
            <w:bdr w:val="none" w:sz="0" w:space="0" w:color="auto" w:frame="1"/>
          </w:rPr>
          <w:t>My Bookshelf</w:t>
        </w:r>
      </w:hyperlink>
    </w:p>
    <w:p w14:paraId="65FC10FC" w14:textId="77777777" w:rsidR="00B67784" w:rsidRPr="00B67784" w:rsidRDefault="00B67784" w:rsidP="00B67784">
      <w:pPr>
        <w:numPr>
          <w:ilvl w:val="0"/>
          <w:numId w:val="7"/>
        </w:numPr>
        <w:spacing w:after="0" w:line="270" w:lineRule="atLeast"/>
        <w:ind w:left="0"/>
        <w:rPr>
          <w:rFonts w:ascii="inherit" w:eastAsia="Times New Roman" w:hAnsi="inherit" w:cs="Times New Roman"/>
          <w:color w:val="808080"/>
          <w:sz w:val="20"/>
          <w:szCs w:val="20"/>
        </w:rPr>
      </w:pPr>
      <w:hyperlink r:id="rId26" w:anchor="toc" w:history="1">
        <w:r w:rsidRPr="00B67784">
          <w:rPr>
            <w:rFonts w:ascii="inherit" w:eastAsia="Times New Roman" w:hAnsi="inherit" w:cs="Times New Roman"/>
            <w:color w:val="0069D6"/>
            <w:sz w:val="20"/>
            <w:szCs w:val="20"/>
            <w:u w:val="single"/>
            <w:bdr w:val="none" w:sz="0" w:space="0" w:color="auto" w:frame="1"/>
          </w:rPr>
          <w:t>TOC/Annotation menu</w:t>
        </w:r>
      </w:hyperlink>
    </w:p>
    <w:p w14:paraId="1224934D" w14:textId="77777777" w:rsidR="00B67784" w:rsidRPr="00B67784" w:rsidRDefault="00B67784" w:rsidP="00B67784">
      <w:pPr>
        <w:numPr>
          <w:ilvl w:val="0"/>
          <w:numId w:val="8"/>
        </w:numPr>
        <w:spacing w:after="0" w:line="270" w:lineRule="atLeast"/>
        <w:ind w:left="0"/>
        <w:rPr>
          <w:rFonts w:ascii="inherit" w:eastAsia="Times New Roman" w:hAnsi="inherit" w:cs="Times New Roman"/>
          <w:color w:val="808080"/>
          <w:sz w:val="20"/>
          <w:szCs w:val="20"/>
        </w:rPr>
      </w:pPr>
      <w:hyperlink r:id="rId27" w:anchor="options" w:history="1">
        <w:r w:rsidRPr="00B67784">
          <w:rPr>
            <w:rFonts w:ascii="inherit" w:eastAsia="Times New Roman" w:hAnsi="inherit" w:cs="Times New Roman"/>
            <w:color w:val="0069D6"/>
            <w:sz w:val="20"/>
            <w:szCs w:val="20"/>
            <w:u w:val="single"/>
            <w:bdr w:val="none" w:sz="0" w:space="0" w:color="auto" w:frame="1"/>
          </w:rPr>
          <w:t>Downloads</w:t>
        </w:r>
      </w:hyperlink>
    </w:p>
    <w:p w14:paraId="2033BF33" w14:textId="77777777" w:rsidR="00B67784" w:rsidRPr="00B67784" w:rsidRDefault="00B67784" w:rsidP="00B67784">
      <w:pPr>
        <w:numPr>
          <w:ilvl w:val="0"/>
          <w:numId w:val="8"/>
        </w:numPr>
        <w:spacing w:after="0" w:line="270" w:lineRule="atLeast"/>
        <w:ind w:left="0"/>
        <w:rPr>
          <w:rFonts w:ascii="inherit" w:eastAsia="Times New Roman" w:hAnsi="inherit" w:cs="Times New Roman"/>
          <w:color w:val="808080"/>
          <w:sz w:val="20"/>
          <w:szCs w:val="20"/>
        </w:rPr>
      </w:pPr>
      <w:hyperlink r:id="rId28" w:history="1">
        <w:r w:rsidRPr="00B67784">
          <w:rPr>
            <w:rFonts w:ascii="inherit" w:eastAsia="Times New Roman" w:hAnsi="inherit" w:cs="Times New Roman"/>
            <w:color w:val="0069D6"/>
            <w:sz w:val="20"/>
            <w:szCs w:val="20"/>
            <w:u w:val="single"/>
            <w:bdr w:val="none" w:sz="0" w:space="0" w:color="auto" w:frame="1"/>
          </w:rPr>
          <w:t>Print</w:t>
        </w:r>
      </w:hyperlink>
    </w:p>
    <w:p w14:paraId="7C3AD347" w14:textId="77777777" w:rsidR="00B67784" w:rsidRPr="00B67784" w:rsidRDefault="00B67784" w:rsidP="00B67784">
      <w:pPr>
        <w:numPr>
          <w:ilvl w:val="0"/>
          <w:numId w:val="8"/>
        </w:numPr>
        <w:spacing w:after="0" w:line="270" w:lineRule="atLeast"/>
        <w:ind w:left="0"/>
        <w:rPr>
          <w:rFonts w:ascii="inherit" w:eastAsia="Times New Roman" w:hAnsi="inherit" w:cs="Times New Roman"/>
          <w:color w:val="808080"/>
          <w:sz w:val="20"/>
          <w:szCs w:val="20"/>
        </w:rPr>
      </w:pPr>
      <w:hyperlink r:id="rId29" w:anchor="search" w:history="1">
        <w:r w:rsidRPr="00B67784">
          <w:rPr>
            <w:rFonts w:ascii="inherit" w:eastAsia="Times New Roman" w:hAnsi="inherit" w:cs="Times New Roman"/>
            <w:color w:val="0069D6"/>
            <w:sz w:val="20"/>
            <w:szCs w:val="20"/>
            <w:u w:val="single"/>
            <w:bdr w:val="none" w:sz="0" w:space="0" w:color="auto" w:frame="1"/>
          </w:rPr>
          <w:t>Search</w:t>
        </w:r>
      </w:hyperlink>
    </w:p>
    <w:p w14:paraId="77C83D21" w14:textId="77777777" w:rsidR="00B67784" w:rsidRPr="00B67784" w:rsidRDefault="00B67784" w:rsidP="00B67784">
      <w:pPr>
        <w:numPr>
          <w:ilvl w:val="0"/>
          <w:numId w:val="8"/>
        </w:numPr>
        <w:spacing w:after="0" w:line="270" w:lineRule="atLeast"/>
        <w:ind w:left="75"/>
        <w:rPr>
          <w:rFonts w:ascii="inherit" w:eastAsia="Times New Roman" w:hAnsi="inherit" w:cs="Times New Roman"/>
          <w:color w:val="808080"/>
          <w:sz w:val="20"/>
          <w:szCs w:val="20"/>
        </w:rPr>
      </w:pPr>
      <w:hyperlink r:id="rId30" w:anchor="profile" w:history="1">
        <w:r w:rsidRPr="00B67784">
          <w:rPr>
            <w:rFonts w:ascii="inherit" w:eastAsia="Times New Roman" w:hAnsi="inherit" w:cs="Times New Roman"/>
            <w:color w:val="0069D6"/>
            <w:sz w:val="20"/>
            <w:szCs w:val="20"/>
            <w:u w:val="single"/>
            <w:bdr w:val="none" w:sz="0" w:space="0" w:color="auto" w:frame="1"/>
          </w:rPr>
          <w:t>Profile</w:t>
        </w:r>
      </w:hyperlink>
    </w:p>
    <w:p w14:paraId="57DE2262" w14:textId="77777777" w:rsidR="00B67784" w:rsidRPr="00B67784" w:rsidRDefault="00B67784" w:rsidP="00B67784">
      <w:pPr>
        <w:numPr>
          <w:ilvl w:val="0"/>
          <w:numId w:val="8"/>
        </w:numPr>
        <w:spacing w:after="0" w:line="270" w:lineRule="atLeast"/>
        <w:ind w:left="30"/>
        <w:rPr>
          <w:rFonts w:ascii="inherit" w:eastAsia="Times New Roman" w:hAnsi="inherit" w:cs="Times New Roman"/>
          <w:color w:val="808080"/>
          <w:sz w:val="20"/>
          <w:szCs w:val="20"/>
        </w:rPr>
      </w:pPr>
      <w:hyperlink r:id="rId31" w:anchor="help" w:history="1">
        <w:r w:rsidRPr="00B67784">
          <w:rPr>
            <w:rFonts w:ascii="inherit" w:eastAsia="Times New Roman" w:hAnsi="inherit" w:cs="Times New Roman"/>
            <w:color w:val="0069D6"/>
            <w:sz w:val="20"/>
            <w:szCs w:val="20"/>
            <w:u w:val="single"/>
            <w:bdr w:val="none" w:sz="0" w:space="0" w:color="auto" w:frame="1"/>
          </w:rPr>
          <w:t>Help</w:t>
        </w:r>
      </w:hyperlink>
    </w:p>
    <w:p w14:paraId="7FD9EC21" w14:textId="77777777" w:rsidR="00B67784" w:rsidRPr="00B67784" w:rsidRDefault="00B67784" w:rsidP="00B67784">
      <w:pPr>
        <w:spacing w:after="270" w:line="750" w:lineRule="atLeast"/>
        <w:jc w:val="center"/>
        <w:outlineLvl w:val="0"/>
        <w:rPr>
          <w:rFonts w:ascii="inherit" w:eastAsia="Times New Roman" w:hAnsi="inherit" w:cs="Times New Roman"/>
          <w:b/>
          <w:bCs/>
          <w:color w:val="EFEFEF"/>
          <w:kern w:val="36"/>
          <w:sz w:val="26"/>
          <w:szCs w:val="26"/>
        </w:rPr>
      </w:pPr>
      <w:r w:rsidRPr="00B67784">
        <w:rPr>
          <w:rFonts w:ascii="inherit" w:eastAsia="Times New Roman" w:hAnsi="inherit" w:cs="Times New Roman"/>
          <w:b/>
          <w:bCs/>
          <w:color w:val="EFEFEF"/>
          <w:kern w:val="36"/>
          <w:sz w:val="26"/>
          <w:szCs w:val="26"/>
        </w:rPr>
        <w:t>5.3 Confucianism and Taoism (from 600 BC…</w:t>
      </w:r>
    </w:p>
    <w:p w14:paraId="6644A8B8" w14:textId="77777777" w:rsidR="00B67784" w:rsidRPr="00B67784" w:rsidRDefault="00B67784" w:rsidP="00B67784">
      <w:pPr>
        <w:shd w:val="clear" w:color="auto" w:fill="EDECE5"/>
        <w:spacing w:after="0" w:line="240" w:lineRule="auto"/>
        <w:rPr>
          <w:rFonts w:ascii="Times New Roman" w:eastAsia="Times New Roman" w:hAnsi="Times New Roman" w:cs="Times New Roman"/>
          <w:sz w:val="24"/>
          <w:szCs w:val="24"/>
        </w:rPr>
      </w:pPr>
      <w:hyperlink r:id="rId32" w:tooltip="[PrevSection]" w:history="1">
        <w:r w:rsidRPr="00B67784">
          <w:rPr>
            <w:rFonts w:ascii="inherit" w:eastAsia="Times New Roman" w:hAnsi="inherit" w:cs="Times New Roman"/>
            <w:color w:val="0069D6"/>
            <w:sz w:val="20"/>
            <w:szCs w:val="20"/>
            <w:u w:val="single"/>
            <w:bdr w:val="none" w:sz="0" w:space="0" w:color="auto" w:frame="1"/>
          </w:rPr>
          <w:t>Previous section</w:t>
        </w:r>
      </w:hyperlink>
    </w:p>
    <w:p w14:paraId="7309890F" w14:textId="77777777" w:rsidR="00B67784" w:rsidRPr="00B67784" w:rsidRDefault="00B67784" w:rsidP="00B67784">
      <w:pPr>
        <w:shd w:val="clear" w:color="auto" w:fill="EDECE5"/>
        <w:spacing w:after="0" w:line="240" w:lineRule="auto"/>
        <w:rPr>
          <w:rFonts w:ascii="Times New Roman" w:eastAsia="Times New Roman" w:hAnsi="Times New Roman" w:cs="Times New Roman"/>
          <w:sz w:val="24"/>
          <w:szCs w:val="24"/>
        </w:rPr>
      </w:pPr>
      <w:hyperlink r:id="rId33" w:tooltip="Next Section" w:history="1">
        <w:r w:rsidRPr="00B67784">
          <w:rPr>
            <w:rFonts w:ascii="inherit" w:eastAsia="Times New Roman" w:hAnsi="inherit" w:cs="Times New Roman"/>
            <w:color w:val="0069D6"/>
            <w:sz w:val="20"/>
            <w:szCs w:val="20"/>
            <w:u w:val="single"/>
            <w:bdr w:val="none" w:sz="0" w:space="0" w:color="auto" w:frame="1"/>
          </w:rPr>
          <w:t>Next section</w:t>
        </w:r>
      </w:hyperlink>
    </w:p>
    <w:p w14:paraId="4FDC0C12" w14:textId="77777777" w:rsidR="00B67784" w:rsidRPr="00B67784" w:rsidRDefault="00B67784" w:rsidP="00B67784">
      <w:pPr>
        <w:spacing w:before="30" w:after="288" w:line="240" w:lineRule="auto"/>
        <w:jc w:val="center"/>
        <w:rPr>
          <w:rFonts w:ascii="Cambria" w:eastAsia="Times New Roman" w:hAnsi="Cambria" w:cs="Times New Roman"/>
          <w:b/>
          <w:bCs/>
          <w:color w:val="000000"/>
          <w:sz w:val="36"/>
          <w:szCs w:val="36"/>
        </w:rPr>
      </w:pPr>
      <w:r w:rsidRPr="00B67784">
        <w:rPr>
          <w:rFonts w:ascii="Cambria" w:eastAsia="Times New Roman" w:hAnsi="Cambria" w:cs="Times New Roman"/>
          <w:b/>
          <w:bCs/>
          <w:color w:val="000000"/>
          <w:sz w:val="36"/>
          <w:szCs w:val="36"/>
        </w:rPr>
        <w:t>5.3 Confucianism and Taoism (from 600 BCE)</w:t>
      </w:r>
    </w:p>
    <w:p w14:paraId="47C7DFB0" w14:textId="77777777" w:rsidR="00B67784" w:rsidRPr="00B67784" w:rsidRDefault="00B67784" w:rsidP="00B67784">
      <w:pPr>
        <w:shd w:val="clear" w:color="auto" w:fill="FFFFFF"/>
        <w:spacing w:after="240" w:line="240" w:lineRule="auto"/>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China and India developed writing systems shortly after the ancient Near East, and ideas about the relationship between gender and thesocial order are also central in these. In China, the philosophical system known as Confucianism was theoretically begun by Confucius in thefifth century BCE, but built on earlier Chinese ideas and traditions and continued to develop and change for many centuries; it became thepredominant intellectual force in China by the Han dynasty (ca. 200 BCE-</w:t>
      </w:r>
      <w:r w:rsidRPr="00B67784">
        <w:rPr>
          <w:rFonts w:ascii="Cambria" w:eastAsia="Times New Roman" w:hAnsi="Cambria" w:cs="Times New Roman"/>
          <w:color w:val="000000"/>
          <w:sz w:val="24"/>
          <w:szCs w:val="24"/>
        </w:rPr>
        <w:lastRenderedPageBreak/>
        <w:t>ca. 200 ce) and continues to have strong influence today.Confucianism is often termed a “religion,” but it does not include specific notions of the deity that adherents must accept; instead its core is aseries of ideas about the cosmic order and the parallel human order. The cosmic order is based on the relationship between Heaven andearth, a hierarchical one in which Heaven (normally capitalized in Confucianism in the same way that God and Allah are capitalized inChristianity and Islam) is the superior, creative element and earth the inferior receptive one; both elements are necessary, however, andharmony and order depend on the balance between the two. This balance came to be expressed also as the balance between yin and yang,with yin representing that which was dark, moist, earthly, receptive, yielding, and female and yang that which was light, dry, active, strong,heavenly, and male.</w:t>
      </w:r>
    </w:p>
    <w:p w14:paraId="59DD31E9" w14:textId="77777777" w:rsidR="00B67784" w:rsidRPr="00B67784" w:rsidRDefault="00B67784" w:rsidP="00B67784">
      <w:pPr>
        <w:shd w:val="clear" w:color="auto" w:fill="FFFFFF"/>
        <w:spacing w:after="24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Proper human relationships were those that were modeled on those of the Heaven and earth, hierarchical and orderly. One of these was therelationship between a man and a woman, especially one which created human life, which was viewed as fundamentally good inConfucianism. This relationship created the family, which was thus regarded as sacred; there were no priests or special houses of worship inConfucianism, so the most important religious rituals were domestic ones. All aspects of family relationships had proper etiquette and ritualsattached, which became more elaborate over the centuries and were recorded in books forming the basis of Confucian teachings, the FiveClassics (of which the oldest and best known is the I Ching, or Book of Changes); these teachings formed the basic moral precepts in whichchildren and adults were socialized for centuries in China, and continued to be important even for those who accepted another religioussystem, such as Taoism, Buddhism, or even Christianity.</w:t>
      </w:r>
    </w:p>
    <w:p w14:paraId="15D0A2B8" w14:textId="77777777" w:rsidR="00B67784" w:rsidRPr="00B67784" w:rsidRDefault="00B67784" w:rsidP="00B67784">
      <w:pPr>
        <w:shd w:val="clear" w:color="auto" w:fill="FFFFFF"/>
        <w:spacing w:after="24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Women’s position corresponded to that of earth in the cosmic order, and women were expected to be subordinate and deferent; theseexpectations were codified as the “three obediences” to which women were subject – to her father as a daughter, to her husband as a wife, andto her son as a widow. (A few contemporary Confucian intellectuals view the three obediences as originating outside Confucian teachings, butfor millennia they have been generally regarded as a central part of Confucian ideology for women.) The Chinese character for “wife” showeda woman with a broom, and the ultimate goal for women was to be regarded as a “Treasure of the House”; the ultimate goal for men was tobecome a sage, a highly educated and wise individual who, in Confucius’s words, “seeks also to enlarge others,” that is to serve the broaderpolitical order.</w:t>
      </w:r>
    </w:p>
    <w:p w14:paraId="7FFF35F8" w14:textId="77777777" w:rsidR="00B67784" w:rsidRPr="00B67784" w:rsidRDefault="00B67784" w:rsidP="00B67784">
      <w:pPr>
        <w:shd w:val="clear" w:color="auto" w:fill="FFFFFF"/>
        <w:spacing w:after="24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The three obediences would seem to place women clearly under the authority of men, but Confucianism also stressed filial piety, whichmeant honoring one’s mother as well as one’s father, and a clear hierarchy of age; both of these mitigated the gender hierarchy somewhat. Inaddition, ancestor veneration, though carried out largely by men, honored female ancestors – at least those who had given birth to sons –along with male. The yin-yang relationship is hierarchical, but both parts are essential to cosmic order, and, as the symbol was elaborated,both parts contain the embryo of the other part within them.</w:t>
      </w:r>
    </w:p>
    <w:p w14:paraId="7CC67615" w14:textId="77777777" w:rsidR="00B67784" w:rsidRPr="00B67784" w:rsidRDefault="00B67784" w:rsidP="00B67784">
      <w:pPr>
        <w:shd w:val="clear" w:color="auto" w:fill="FFFFFF"/>
        <w:spacing w:after="24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The yin-yang symbol and its notions of male-female complementarity were also part of the other major philosophical-religious system ofclassical China, Taoism. Like Confucianism, Taoism is viewed as the crea</w:t>
      </w:r>
      <w:r w:rsidRPr="00B67784">
        <w:rPr>
          <w:rFonts w:ascii="Cambria" w:eastAsia="Times New Roman" w:hAnsi="Cambria" w:cs="Times New Roman"/>
          <w:color w:val="000000"/>
          <w:sz w:val="24"/>
          <w:szCs w:val="24"/>
        </w:rPr>
        <w:lastRenderedPageBreak/>
        <w:t>tion of one man, Laozi, who may not be a historical person, but buildson earlier Chinese traditions, in this case widespread beliefs about spirits and magic; some Taoism is more philosophical and scholarly, andsome more religious and spiritual. In Taoism, following nature is seen as the way to happiness, with passivity and motherly love oftendescribed as ideals; the way of nature, called the Tao, is often described as the womb of creation, and other feminine imagery occurs regularlyin Taoist poetry, as does androgynous imagery that talks about balancing masculine and feminine qualities. Sexuality and the body are viewedpositively, with no taboos attached to either menstrual blood or semen, and rituals developed that included sexual techniques as part ofmeditation for both men and women; sexual handbooks were frequently part of a bride’s trousseau on marriage. Taoism encompassed a hugerange of practices and beliefs and incorporated many rituals and ideas from Chinese folk religion, such as shamanism, divination, astrology,and exorcism, which caused it to be generally denigrated by official historians, who were mainly Confucian. There appear to have been anumber of women among its leaders and those who attained the highest levels of meditation, which may also explain why it was frownedupon by court chroniclers.</w:t>
      </w:r>
    </w:p>
    <w:p w14:paraId="64AD01BB" w14:textId="77777777" w:rsidR="00B67784" w:rsidRPr="00B67784" w:rsidRDefault="00B67784" w:rsidP="00B67784">
      <w:pPr>
        <w:shd w:val="clear" w:color="auto" w:fill="FFFFFF"/>
        <w:spacing w:after="24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It may be wrong to separate Confucianism and Taoism, for they shared many ideas and many people followed both of them; in terms ofgender structures, it may be best to see them as two ends of a spectrum, with Confucianism emphasizing the hierarchy in male/femalerelationships, and Taoism the complementarity. Both of them viewed the family and children as central to human life, so that religions whichviewed celibacy and chastity as positive were regarded with some suspicion.</w:t>
      </w:r>
    </w:p>
    <w:p w14:paraId="5C2857BF" w14:textId="77777777" w:rsidR="00B67784" w:rsidRPr="00B67784" w:rsidRDefault="00B67784" w:rsidP="00B67784">
      <w:pPr>
        <w:numPr>
          <w:ilvl w:val="0"/>
          <w:numId w:val="9"/>
        </w:numPr>
        <w:spacing w:after="0" w:line="270" w:lineRule="atLeast"/>
        <w:ind w:left="0"/>
        <w:rPr>
          <w:rFonts w:ascii="inherit" w:eastAsia="Times New Roman" w:hAnsi="inherit" w:cs="Times New Roman"/>
          <w:color w:val="808080"/>
          <w:sz w:val="20"/>
          <w:szCs w:val="20"/>
        </w:rPr>
      </w:pPr>
      <w:hyperlink r:id="rId34" w:history="1">
        <w:r w:rsidRPr="00B67784">
          <w:rPr>
            <w:rFonts w:ascii="inherit" w:eastAsia="Times New Roman" w:hAnsi="inherit" w:cs="Times New Roman"/>
            <w:color w:val="0069D6"/>
            <w:sz w:val="20"/>
            <w:szCs w:val="20"/>
            <w:u w:val="single"/>
            <w:bdr w:val="none" w:sz="0" w:space="0" w:color="auto" w:frame="1"/>
          </w:rPr>
          <w:t>Notebook</w:t>
        </w:r>
      </w:hyperlink>
    </w:p>
    <w:p w14:paraId="4656C093" w14:textId="77777777" w:rsidR="00B67784" w:rsidRPr="00B67784" w:rsidRDefault="00B67784" w:rsidP="00B67784">
      <w:pPr>
        <w:numPr>
          <w:ilvl w:val="0"/>
          <w:numId w:val="10"/>
        </w:numPr>
        <w:spacing w:after="0" w:line="270" w:lineRule="atLeast"/>
        <w:ind w:left="0"/>
        <w:rPr>
          <w:rFonts w:ascii="inherit" w:eastAsia="Times New Roman" w:hAnsi="inherit" w:cs="Times New Roman"/>
          <w:color w:val="808080"/>
          <w:sz w:val="20"/>
          <w:szCs w:val="20"/>
        </w:rPr>
      </w:pPr>
      <w:hyperlink r:id="rId35" w:history="1">
        <w:r w:rsidRPr="00B67784">
          <w:rPr>
            <w:rFonts w:ascii="inherit" w:eastAsia="Times New Roman" w:hAnsi="inherit" w:cs="Times New Roman"/>
            <w:color w:val="0069D6"/>
            <w:sz w:val="20"/>
            <w:szCs w:val="20"/>
            <w:u w:val="single"/>
            <w:bdr w:val="none" w:sz="0" w:space="0" w:color="auto" w:frame="1"/>
          </w:rPr>
          <w:t>My Bookshelf</w:t>
        </w:r>
      </w:hyperlink>
    </w:p>
    <w:p w14:paraId="0926A54B" w14:textId="77777777" w:rsidR="00B67784" w:rsidRPr="00B67784" w:rsidRDefault="00B67784" w:rsidP="00B67784">
      <w:pPr>
        <w:numPr>
          <w:ilvl w:val="0"/>
          <w:numId w:val="10"/>
        </w:numPr>
        <w:spacing w:after="0" w:line="270" w:lineRule="atLeast"/>
        <w:ind w:left="0"/>
        <w:rPr>
          <w:rFonts w:ascii="inherit" w:eastAsia="Times New Roman" w:hAnsi="inherit" w:cs="Times New Roman"/>
          <w:color w:val="808080"/>
          <w:sz w:val="20"/>
          <w:szCs w:val="20"/>
        </w:rPr>
      </w:pPr>
      <w:hyperlink r:id="rId36" w:anchor="toc" w:history="1">
        <w:r w:rsidRPr="00B67784">
          <w:rPr>
            <w:rFonts w:ascii="inherit" w:eastAsia="Times New Roman" w:hAnsi="inherit" w:cs="Times New Roman"/>
            <w:color w:val="0069D6"/>
            <w:sz w:val="20"/>
            <w:szCs w:val="20"/>
            <w:u w:val="single"/>
            <w:bdr w:val="none" w:sz="0" w:space="0" w:color="auto" w:frame="1"/>
          </w:rPr>
          <w:t>TOC/Annotation menu</w:t>
        </w:r>
      </w:hyperlink>
    </w:p>
    <w:p w14:paraId="2A9FD237" w14:textId="77777777" w:rsidR="00B67784" w:rsidRPr="00B67784" w:rsidRDefault="00B67784" w:rsidP="00B67784">
      <w:pPr>
        <w:numPr>
          <w:ilvl w:val="0"/>
          <w:numId w:val="11"/>
        </w:numPr>
        <w:spacing w:after="0" w:line="270" w:lineRule="atLeast"/>
        <w:ind w:left="0"/>
        <w:rPr>
          <w:rFonts w:ascii="inherit" w:eastAsia="Times New Roman" w:hAnsi="inherit" w:cs="Times New Roman"/>
          <w:color w:val="808080"/>
          <w:sz w:val="20"/>
          <w:szCs w:val="20"/>
        </w:rPr>
      </w:pPr>
      <w:hyperlink r:id="rId37" w:anchor="options" w:history="1">
        <w:r w:rsidRPr="00B67784">
          <w:rPr>
            <w:rFonts w:ascii="inherit" w:eastAsia="Times New Roman" w:hAnsi="inherit" w:cs="Times New Roman"/>
            <w:color w:val="0069D6"/>
            <w:sz w:val="20"/>
            <w:szCs w:val="20"/>
            <w:u w:val="single"/>
            <w:bdr w:val="none" w:sz="0" w:space="0" w:color="auto" w:frame="1"/>
          </w:rPr>
          <w:t>Downloads</w:t>
        </w:r>
      </w:hyperlink>
    </w:p>
    <w:p w14:paraId="505042A6" w14:textId="77777777" w:rsidR="00B67784" w:rsidRPr="00B67784" w:rsidRDefault="00B67784" w:rsidP="00B67784">
      <w:pPr>
        <w:numPr>
          <w:ilvl w:val="0"/>
          <w:numId w:val="11"/>
        </w:numPr>
        <w:spacing w:after="0" w:line="270" w:lineRule="atLeast"/>
        <w:ind w:left="0"/>
        <w:rPr>
          <w:rFonts w:ascii="inherit" w:eastAsia="Times New Roman" w:hAnsi="inherit" w:cs="Times New Roman"/>
          <w:color w:val="808080"/>
          <w:sz w:val="20"/>
          <w:szCs w:val="20"/>
        </w:rPr>
      </w:pPr>
      <w:hyperlink r:id="rId38" w:history="1">
        <w:r w:rsidRPr="00B67784">
          <w:rPr>
            <w:rFonts w:ascii="inherit" w:eastAsia="Times New Roman" w:hAnsi="inherit" w:cs="Times New Roman"/>
            <w:color w:val="0069D6"/>
            <w:sz w:val="20"/>
            <w:szCs w:val="20"/>
            <w:u w:val="single"/>
            <w:bdr w:val="none" w:sz="0" w:space="0" w:color="auto" w:frame="1"/>
          </w:rPr>
          <w:t>Print</w:t>
        </w:r>
      </w:hyperlink>
    </w:p>
    <w:p w14:paraId="3219BCC3" w14:textId="77777777" w:rsidR="00B67784" w:rsidRPr="00B67784" w:rsidRDefault="00B67784" w:rsidP="00B67784">
      <w:pPr>
        <w:numPr>
          <w:ilvl w:val="0"/>
          <w:numId w:val="11"/>
        </w:numPr>
        <w:spacing w:after="0" w:line="270" w:lineRule="atLeast"/>
        <w:ind w:left="0"/>
        <w:rPr>
          <w:rFonts w:ascii="inherit" w:eastAsia="Times New Roman" w:hAnsi="inherit" w:cs="Times New Roman"/>
          <w:color w:val="808080"/>
          <w:sz w:val="20"/>
          <w:szCs w:val="20"/>
        </w:rPr>
      </w:pPr>
      <w:hyperlink r:id="rId39" w:anchor="search" w:history="1">
        <w:r w:rsidRPr="00B67784">
          <w:rPr>
            <w:rFonts w:ascii="inherit" w:eastAsia="Times New Roman" w:hAnsi="inherit" w:cs="Times New Roman"/>
            <w:color w:val="0069D6"/>
            <w:sz w:val="20"/>
            <w:szCs w:val="20"/>
            <w:u w:val="single"/>
            <w:bdr w:val="none" w:sz="0" w:space="0" w:color="auto" w:frame="1"/>
          </w:rPr>
          <w:t>Search</w:t>
        </w:r>
      </w:hyperlink>
    </w:p>
    <w:p w14:paraId="206B523E" w14:textId="77777777" w:rsidR="00B67784" w:rsidRPr="00B67784" w:rsidRDefault="00B67784" w:rsidP="00B67784">
      <w:pPr>
        <w:numPr>
          <w:ilvl w:val="0"/>
          <w:numId w:val="11"/>
        </w:numPr>
        <w:spacing w:after="0" w:line="270" w:lineRule="atLeast"/>
        <w:ind w:left="75"/>
        <w:rPr>
          <w:rFonts w:ascii="inherit" w:eastAsia="Times New Roman" w:hAnsi="inherit" w:cs="Times New Roman"/>
          <w:color w:val="808080"/>
          <w:sz w:val="20"/>
          <w:szCs w:val="20"/>
        </w:rPr>
      </w:pPr>
      <w:hyperlink r:id="rId40" w:anchor="profile" w:history="1">
        <w:r w:rsidRPr="00B67784">
          <w:rPr>
            <w:rFonts w:ascii="inherit" w:eastAsia="Times New Roman" w:hAnsi="inherit" w:cs="Times New Roman"/>
            <w:color w:val="0069D6"/>
            <w:sz w:val="20"/>
            <w:szCs w:val="20"/>
            <w:u w:val="single"/>
            <w:bdr w:val="none" w:sz="0" w:space="0" w:color="auto" w:frame="1"/>
          </w:rPr>
          <w:t>Profile</w:t>
        </w:r>
      </w:hyperlink>
    </w:p>
    <w:p w14:paraId="503EE05A" w14:textId="77777777" w:rsidR="00B67784" w:rsidRPr="00B67784" w:rsidRDefault="00B67784" w:rsidP="00B67784">
      <w:pPr>
        <w:numPr>
          <w:ilvl w:val="0"/>
          <w:numId w:val="11"/>
        </w:numPr>
        <w:spacing w:after="0" w:line="270" w:lineRule="atLeast"/>
        <w:ind w:left="30"/>
        <w:rPr>
          <w:rFonts w:ascii="inherit" w:eastAsia="Times New Roman" w:hAnsi="inherit" w:cs="Times New Roman"/>
          <w:color w:val="808080"/>
          <w:sz w:val="20"/>
          <w:szCs w:val="20"/>
        </w:rPr>
      </w:pPr>
      <w:hyperlink r:id="rId41" w:anchor="help" w:history="1">
        <w:r w:rsidRPr="00B67784">
          <w:rPr>
            <w:rFonts w:ascii="inherit" w:eastAsia="Times New Roman" w:hAnsi="inherit" w:cs="Times New Roman"/>
            <w:color w:val="0069D6"/>
            <w:sz w:val="20"/>
            <w:szCs w:val="20"/>
            <w:u w:val="single"/>
            <w:bdr w:val="none" w:sz="0" w:space="0" w:color="auto" w:frame="1"/>
          </w:rPr>
          <w:t>Help</w:t>
        </w:r>
      </w:hyperlink>
    </w:p>
    <w:p w14:paraId="1731AFA5" w14:textId="77777777" w:rsidR="00B67784" w:rsidRPr="00B67784" w:rsidRDefault="00B67784" w:rsidP="00B67784">
      <w:pPr>
        <w:spacing w:after="270" w:line="750" w:lineRule="atLeast"/>
        <w:jc w:val="center"/>
        <w:outlineLvl w:val="0"/>
        <w:rPr>
          <w:rFonts w:ascii="inherit" w:eastAsia="Times New Roman" w:hAnsi="inherit" w:cs="Times New Roman"/>
          <w:b/>
          <w:bCs/>
          <w:color w:val="EFEFEF"/>
          <w:kern w:val="36"/>
          <w:sz w:val="26"/>
          <w:szCs w:val="26"/>
        </w:rPr>
      </w:pPr>
      <w:r w:rsidRPr="00B67784">
        <w:rPr>
          <w:rFonts w:ascii="inherit" w:eastAsia="Times New Roman" w:hAnsi="inherit" w:cs="Times New Roman"/>
          <w:b/>
          <w:bCs/>
          <w:color w:val="EFEFEF"/>
          <w:kern w:val="36"/>
          <w:sz w:val="26"/>
          <w:szCs w:val="26"/>
        </w:rPr>
        <w:t>5.4 Hinduism and Buddhism (from 600 BCE)</w:t>
      </w:r>
    </w:p>
    <w:p w14:paraId="682C0356" w14:textId="77777777" w:rsidR="00B67784" w:rsidRPr="00B67784" w:rsidRDefault="00B67784" w:rsidP="00B67784">
      <w:pPr>
        <w:shd w:val="clear" w:color="auto" w:fill="EDECE5"/>
        <w:spacing w:after="0" w:line="240" w:lineRule="auto"/>
        <w:rPr>
          <w:rFonts w:ascii="Times New Roman" w:eastAsia="Times New Roman" w:hAnsi="Times New Roman" w:cs="Times New Roman"/>
          <w:sz w:val="24"/>
          <w:szCs w:val="24"/>
        </w:rPr>
      </w:pPr>
      <w:hyperlink r:id="rId42" w:tooltip="[PrevSection]" w:history="1">
        <w:r w:rsidRPr="00B67784">
          <w:rPr>
            <w:rFonts w:ascii="inherit" w:eastAsia="Times New Roman" w:hAnsi="inherit" w:cs="Times New Roman"/>
            <w:color w:val="0069D6"/>
            <w:sz w:val="20"/>
            <w:szCs w:val="20"/>
            <w:u w:val="single"/>
            <w:bdr w:val="none" w:sz="0" w:space="0" w:color="auto" w:frame="1"/>
          </w:rPr>
          <w:t>Previous section</w:t>
        </w:r>
      </w:hyperlink>
    </w:p>
    <w:p w14:paraId="7B88F57F" w14:textId="77777777" w:rsidR="00B67784" w:rsidRPr="00B67784" w:rsidRDefault="00B67784" w:rsidP="00B67784">
      <w:pPr>
        <w:shd w:val="clear" w:color="auto" w:fill="EDECE5"/>
        <w:spacing w:after="0" w:line="240" w:lineRule="auto"/>
        <w:rPr>
          <w:rFonts w:ascii="Times New Roman" w:eastAsia="Times New Roman" w:hAnsi="Times New Roman" w:cs="Times New Roman"/>
          <w:sz w:val="24"/>
          <w:szCs w:val="24"/>
        </w:rPr>
      </w:pPr>
      <w:hyperlink r:id="rId43" w:tooltip="Next Section" w:history="1">
        <w:r w:rsidRPr="00B67784">
          <w:rPr>
            <w:rFonts w:ascii="inherit" w:eastAsia="Times New Roman" w:hAnsi="inherit" w:cs="Times New Roman"/>
            <w:color w:val="0069D6"/>
            <w:sz w:val="20"/>
            <w:szCs w:val="20"/>
            <w:u w:val="single"/>
            <w:bdr w:val="none" w:sz="0" w:space="0" w:color="auto" w:frame="1"/>
          </w:rPr>
          <w:t>Next section</w:t>
        </w:r>
      </w:hyperlink>
    </w:p>
    <w:p w14:paraId="503F019F" w14:textId="77777777" w:rsidR="00B67784" w:rsidRPr="00B67784" w:rsidRDefault="00B67784" w:rsidP="00B67784">
      <w:pPr>
        <w:spacing w:before="30" w:after="288" w:line="240" w:lineRule="auto"/>
        <w:jc w:val="center"/>
        <w:rPr>
          <w:rFonts w:ascii="Cambria" w:eastAsia="Times New Roman" w:hAnsi="Cambria" w:cs="Times New Roman"/>
          <w:b/>
          <w:bCs/>
          <w:color w:val="000000"/>
          <w:sz w:val="36"/>
          <w:szCs w:val="36"/>
        </w:rPr>
      </w:pPr>
      <w:r w:rsidRPr="00B67784">
        <w:rPr>
          <w:rFonts w:ascii="Cambria" w:eastAsia="Times New Roman" w:hAnsi="Cambria" w:cs="Times New Roman"/>
          <w:b/>
          <w:bCs/>
          <w:color w:val="000000"/>
          <w:sz w:val="36"/>
          <w:szCs w:val="36"/>
        </w:rPr>
        <w:t>5.4 Hinduism and Buddhism (from 600 BCE)</w:t>
      </w:r>
    </w:p>
    <w:p w14:paraId="1C2E0D9A" w14:textId="77777777" w:rsidR="00B67784" w:rsidRPr="00B67784" w:rsidRDefault="00B67784" w:rsidP="00B67784">
      <w:pPr>
        <w:shd w:val="clear" w:color="auto" w:fill="FFFFFF"/>
        <w:spacing w:after="0" w:line="240" w:lineRule="auto"/>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In India as well as China, gender structures developed in the classical era that lasted for millennia, and which were shaped to a great degreeby religious and intellectual systems. In the Brahminic system, which combined with older and local religious and spiritual ideas to form thecomplex religion later termed Hinduism, the four purposes of life are held to be piety (</w:t>
      </w:r>
      <w:r w:rsidRPr="00B67784">
        <w:rPr>
          <w:rFonts w:ascii="inherit" w:eastAsia="Times New Roman" w:hAnsi="inherit" w:cs="Times New Roman"/>
          <w:i/>
          <w:iCs/>
          <w:color w:val="000000"/>
          <w:sz w:val="24"/>
          <w:szCs w:val="24"/>
          <w:bdr w:val="none" w:sz="0" w:space="0" w:color="auto" w:frame="1"/>
        </w:rPr>
        <w:t>dharma</w:t>
      </w:r>
      <w:r w:rsidRPr="00B67784">
        <w:rPr>
          <w:rFonts w:ascii="Cambria" w:eastAsia="Times New Roman" w:hAnsi="Cambria" w:cs="Times New Roman"/>
          <w:color w:val="000000"/>
          <w:sz w:val="24"/>
          <w:szCs w:val="24"/>
        </w:rPr>
        <w:t>), prosperity (</w:t>
      </w:r>
      <w:r w:rsidRPr="00B67784">
        <w:rPr>
          <w:rFonts w:ascii="inherit" w:eastAsia="Times New Roman" w:hAnsi="inherit" w:cs="Times New Roman"/>
          <w:i/>
          <w:iCs/>
          <w:color w:val="000000"/>
          <w:sz w:val="24"/>
          <w:szCs w:val="24"/>
          <w:bdr w:val="none" w:sz="0" w:space="0" w:color="auto" w:frame="1"/>
        </w:rPr>
        <w:t>artha</w:t>
      </w:r>
      <w:r w:rsidRPr="00B67784">
        <w:rPr>
          <w:rFonts w:ascii="Cambria" w:eastAsia="Times New Roman" w:hAnsi="Cambria" w:cs="Times New Roman"/>
          <w:color w:val="000000"/>
          <w:sz w:val="24"/>
          <w:szCs w:val="24"/>
        </w:rPr>
        <w:t>), pleasure (</w:t>
      </w:r>
      <w:r w:rsidRPr="00B67784">
        <w:rPr>
          <w:rFonts w:ascii="inherit" w:eastAsia="Times New Roman" w:hAnsi="inherit" w:cs="Times New Roman"/>
          <w:i/>
          <w:iCs/>
          <w:color w:val="000000"/>
          <w:sz w:val="24"/>
          <w:szCs w:val="24"/>
          <w:bdr w:val="none" w:sz="0" w:space="0" w:color="auto" w:frame="1"/>
        </w:rPr>
        <w:t>kama</w:t>
      </w:r>
      <w:r w:rsidRPr="00B67784">
        <w:rPr>
          <w:rFonts w:ascii="Cambria" w:eastAsia="Times New Roman" w:hAnsi="Cambria" w:cs="Times New Roman"/>
          <w:color w:val="000000"/>
          <w:sz w:val="24"/>
          <w:szCs w:val="24"/>
        </w:rPr>
        <w:t>), andliberation (</w:t>
      </w:r>
      <w:r w:rsidRPr="00B67784">
        <w:rPr>
          <w:rFonts w:ascii="inherit" w:eastAsia="Times New Roman" w:hAnsi="inherit" w:cs="Times New Roman"/>
          <w:i/>
          <w:iCs/>
          <w:color w:val="000000"/>
          <w:sz w:val="24"/>
          <w:szCs w:val="24"/>
          <w:bdr w:val="none" w:sz="0" w:space="0" w:color="auto" w:frame="1"/>
        </w:rPr>
        <w:t>moksha</w:t>
      </w:r>
      <w:r w:rsidRPr="00B67784">
        <w:rPr>
          <w:rFonts w:ascii="Cambria" w:eastAsia="Times New Roman" w:hAnsi="Cambria" w:cs="Times New Roman"/>
          <w:color w:val="000000"/>
          <w:sz w:val="24"/>
          <w:szCs w:val="24"/>
        </w:rPr>
        <w:t>). The family was viewed as the central setting for the accomplishment of the first three of these goals, and the threepurposes of marriage – religious duties, progeny, and sexual pleasure – derived directl</w:t>
      </w:r>
      <w:r w:rsidRPr="00B67784">
        <w:rPr>
          <w:rFonts w:ascii="Cambria" w:eastAsia="Times New Roman" w:hAnsi="Cambria" w:cs="Times New Roman"/>
          <w:color w:val="000000"/>
          <w:sz w:val="24"/>
          <w:szCs w:val="24"/>
        </w:rPr>
        <w:lastRenderedPageBreak/>
        <w:t>y from them. Marriage made one fully adult, and allmen and women were expected to marry.</w:t>
      </w:r>
    </w:p>
    <w:p w14:paraId="2DCC8272" w14:textId="77777777" w:rsidR="00B67784" w:rsidRPr="00B67784" w:rsidRDefault="00B67784" w:rsidP="00B67784">
      <w:pPr>
        <w:shd w:val="clear" w:color="auto" w:fill="FFFFFF"/>
        <w:spacing w:after="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Because Hinduism is the synthesis of many traditions, it often contains conflicting ideas about gender hierarchy, with some structures andideas clearly placing women in an inferior position, others stressing the complementarity of men and women, and others valorizing womenand the feminine. The normal life-cycle of a person from one of the upper castes, particularly from the highest caste, the Brahmins, markedwomen as inferior. When a boy in one of the three upper castes reached the age of about 8 or 12, he went through a ceremony giving him thesacred thread to wear over his shoulders, marking him as one of the “twice born.” (This ceremony is still of great significance for orthodoxHindus.) With this, especially if he was a Brahmin, he began a period of study during which he memorized sacred texts and learned rituals,often studying with an individual teacher, or guru, or at one of the brahmanic universities that were established during the classical period. Atthe end of this, generally when he was in his twenties, came another ceremony indicating his adult status. At this point he was expected tomarry quickly, taking a wife chosen for him by his family or a matchmaker who was often much younger than he was. They began havingchildren as soon as possible – 10 was regarded as ideal – and he joined, or, if his father had died, led the religious rituals that linked him withpast and future male members of his family. After his own children had reached adulthood, he might choose a life as a monk or ascetic, leavinghis wife so that he could concentrate on spiritual concerns. On death, if he had lived his life according to proper moral precepts, he would berewarded with a favorable rebirth, or perhaps achieve or attain </w:t>
      </w:r>
      <w:r w:rsidRPr="00B67784">
        <w:rPr>
          <w:rFonts w:ascii="inherit" w:eastAsia="Times New Roman" w:hAnsi="inherit" w:cs="Times New Roman"/>
          <w:i/>
          <w:iCs/>
          <w:color w:val="000000"/>
          <w:sz w:val="24"/>
          <w:szCs w:val="24"/>
          <w:bdr w:val="none" w:sz="0" w:space="0" w:color="auto" w:frame="1"/>
        </w:rPr>
        <w:t>moksha</w:t>
      </w:r>
      <w:r w:rsidRPr="00B67784">
        <w:rPr>
          <w:rFonts w:ascii="Cambria" w:eastAsia="Times New Roman" w:hAnsi="Cambria" w:cs="Times New Roman"/>
          <w:color w:val="000000"/>
          <w:sz w:val="24"/>
          <w:szCs w:val="24"/>
        </w:rPr>
        <w:t>, the state of liberation, bliss and awareness that freed one from thecycle of birth and death.</w:t>
      </w:r>
    </w:p>
    <w:p w14:paraId="19B51D6B" w14:textId="77777777" w:rsidR="00B67784" w:rsidRPr="00B67784" w:rsidRDefault="00B67784" w:rsidP="00B67784">
      <w:pPr>
        <w:shd w:val="clear" w:color="auto" w:fill="FFFFFF"/>
        <w:spacing w:after="24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By contrast, a girl in the upper castes did not receive a sacred thread, or go through a period of studying sacred texts. During the Vedic age,1200–600 BCE, women appear to have been able to study and a few highly educated women are mentioned in the sacred texts known as theUpanishads, such as the philosopher Gargi who engaged in a debate about the True Self. In later centuries service to her husband was toreplace education for brahmin women, so that while her brothers were off studying, a brahmin girl learned housekeeping and domesticreligious rituals. Her entry into adult- hood was marked by marriage, not by a separate ceremony, which generally occurred at a muchyounger age than that of her brothers – in her teens or even earlier. She then went to live with her husband’s family, and heard the names ofhis ancestors, not hers, recited in religious ceremonies; if she was a brahmin, she was instructed to worship her husband as if he were a god,making and serving him all of his food so that it was pure enough, entertaining him, and demonstrating her devotion.</w:t>
      </w:r>
    </w:p>
    <w:p w14:paraId="543648B8" w14:textId="77777777" w:rsidR="00B67784" w:rsidRPr="00B67784" w:rsidRDefault="00B67784" w:rsidP="00B67784">
      <w:pPr>
        <w:shd w:val="clear" w:color="auto" w:fill="FFFFFF"/>
        <w:spacing w:after="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At the end of her life she could expect a period of widowhood, which might be quite long given the disparity in normal ages at marriage formen and women, a dismal time during which she was considered inauspicious, i.e., unlucky, and so not welcome at family festivities or rituals.(During the course of her marriage, she probably performed special rituals designed to prolong the life of her husband, as well as thoseduring the third month of each pregnancy to secure the birth of a son.) Becoming a monk or an ascetic was not an option, for such individualslived and traveled alone, which was seen as inappropriate for women. Like the male members of her family, after death she could hope for afavorable rebirth, which might include being reborn as a man. As in China, women’s life-</w:t>
      </w:r>
      <w:r w:rsidRPr="00B67784">
        <w:rPr>
          <w:rFonts w:ascii="Cambria" w:eastAsia="Times New Roman" w:hAnsi="Cambria" w:cs="Times New Roman"/>
          <w:color w:val="000000"/>
          <w:sz w:val="24"/>
          <w:szCs w:val="24"/>
        </w:rPr>
        <w:lastRenderedPageBreak/>
        <w:t>cycle was described as a series of relationships ofobedience. One of the articles of the Laws of Manu, compiled between 200 and 400 ce, states: “In childhood a female must be subject to herfather, in youth to her husband, and when her lord is dead, to her sons; a woman must never be independent.” Restrictions on widows becameharsher in the period after about 1000 ce, and the bleak situation still faced by many widows is currently being criticized by women’s rightsadvocates in India. Among some subcastes in particular regions of India, the practice of </w:t>
      </w:r>
      <w:r w:rsidRPr="00B67784">
        <w:rPr>
          <w:rFonts w:ascii="inherit" w:eastAsia="Times New Roman" w:hAnsi="inherit" w:cs="Times New Roman"/>
          <w:i/>
          <w:iCs/>
          <w:color w:val="000000"/>
          <w:sz w:val="24"/>
          <w:szCs w:val="24"/>
          <w:bdr w:val="none" w:sz="0" w:space="0" w:color="auto" w:frame="1"/>
        </w:rPr>
        <w:t>sati</w:t>
      </w:r>
      <w:r w:rsidRPr="00B67784">
        <w:rPr>
          <w:rFonts w:ascii="Cambria" w:eastAsia="Times New Roman" w:hAnsi="Cambria" w:cs="Times New Roman"/>
          <w:color w:val="000000"/>
          <w:sz w:val="24"/>
          <w:szCs w:val="24"/>
        </w:rPr>
        <w:t>, a widow’s self-immolation on her husband’sfuneral pyre, became a praiseworthy alternative to dismal widowhood. The origins of sati (which means “good wife”) are unclear and hotlydebated, and it was rarely a common practice, though occasional reports of voluntary and involuntary sati continue today. Reports of thekilling of young wives because their families are slow or remiss in making dowry payments are more numerous, and dowry deaths, alongwith the status of widows, are a central concern of Indian feminists.</w:t>
      </w:r>
    </w:p>
    <w:p w14:paraId="4190932F" w14:textId="77777777" w:rsidR="00B67784" w:rsidRPr="00B67784" w:rsidRDefault="00B67784" w:rsidP="00B67784">
      <w:pPr>
        <w:shd w:val="clear" w:color="auto" w:fill="FFFFFF"/>
        <w:spacing w:after="24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In many ways women clearly have a secondary status within Hinduism, but there are also traditions that stress the power of women. Manyof the Hindu deities are goddesses, who range from beneficent life-givers like Devi or Ganga to faithful spouses like Parvati or Radha to fiercedestroyers like Kali or Durga, and may have been viewed as empowering by women. Women also performed religious rituals either on theirown or with their husbands, the latter particularly important during the Vedic period when the most important rituals required theparticipation of a married couple. Beginning in the eighth century ce, women were active in the bhakti movements, popular devotionalmovements which stressed intense mystical experiences focusing on a single god rather than asceticism or scholarship and which became themost widespread form of Hinduism because they were open to everyone, regardless of caste.</w:t>
      </w:r>
    </w:p>
    <w:p w14:paraId="626B51D5" w14:textId="77777777" w:rsidR="00B67784" w:rsidRPr="00B67784" w:rsidRDefault="00B67784" w:rsidP="00B67784">
      <w:pPr>
        <w:shd w:val="clear" w:color="auto" w:fill="FFFFFF"/>
        <w:spacing w:after="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Buddhism rejected certain aspects of Hindu teachings about men and women, but it also accepted others; like Hinduism, it incorporatedmany ideas and traditions, some of them contradictory, and later split into different branches with different emphases. Buddhism originatedin the teachings of the Indian prince Siddhartha Gautama (566–486 bce), called the Buddha (“awakened one”), who taught that the best wayof life is one of moderation and meditation, a rejection of worldly concerns and a search for enlightenment. In theory, the Buddhist path toenlightenment (</w:t>
      </w:r>
      <w:r w:rsidRPr="00B67784">
        <w:rPr>
          <w:rFonts w:ascii="inherit" w:eastAsia="Times New Roman" w:hAnsi="inherit" w:cs="Times New Roman"/>
          <w:i/>
          <w:iCs/>
          <w:color w:val="000000"/>
          <w:sz w:val="24"/>
          <w:szCs w:val="24"/>
          <w:bdr w:val="none" w:sz="0" w:space="0" w:color="auto" w:frame="1"/>
        </w:rPr>
        <w:t>nirvana</w:t>
      </w:r>
      <w:r w:rsidRPr="00B67784">
        <w:rPr>
          <w:rFonts w:ascii="Cambria" w:eastAsia="Times New Roman" w:hAnsi="Cambria" w:cs="Times New Roman"/>
          <w:color w:val="000000"/>
          <w:sz w:val="24"/>
          <w:szCs w:val="24"/>
        </w:rPr>
        <w:t> or </w:t>
      </w:r>
      <w:r w:rsidRPr="00B67784">
        <w:rPr>
          <w:rFonts w:ascii="inherit" w:eastAsia="Times New Roman" w:hAnsi="inherit" w:cs="Times New Roman"/>
          <w:i/>
          <w:iCs/>
          <w:color w:val="000000"/>
          <w:sz w:val="24"/>
          <w:szCs w:val="24"/>
          <w:bdr w:val="none" w:sz="0" w:space="0" w:color="auto" w:frame="1"/>
        </w:rPr>
        <w:t>nibbana</w:t>
      </w:r>
      <w:r w:rsidRPr="00B67784">
        <w:rPr>
          <w:rFonts w:ascii="Cambria" w:eastAsia="Times New Roman" w:hAnsi="Cambria" w:cs="Times New Roman"/>
          <w:color w:val="000000"/>
          <w:sz w:val="24"/>
          <w:szCs w:val="24"/>
        </w:rPr>
        <w:t>) is open to all regardless of sex or caste; one needs simply to rid oneself of all desires, which may beaccomplished progressively through a series of deaths and rebirths. Gender differences are part of the world that keeps one fromenlightenment and not part of the true nature of existence. Such egalitarian- ism conflicted with other teachings, however, for women werealso viewed as a dangerous threat to men’s achieving enlightenment and in some writings were regarded as not capable of achievingenlightenment unless they first became men. Many Buddhist texts view the feminine as horrific, encouraging those who would achieveenlightenment to meditate on images of women’s diseased, dying, or dead bodies in order to cultivate detachment from desire.</w:t>
      </w:r>
    </w:p>
    <w:p w14:paraId="4A2F3776" w14:textId="77777777" w:rsidR="00B67784" w:rsidRPr="00B67784" w:rsidRDefault="00B67784" w:rsidP="00B67784">
      <w:pPr>
        <w:shd w:val="clear" w:color="auto" w:fill="FFFFFF"/>
        <w:spacing w:after="24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The conflict between these two notions emerged during the Buddha’s life-time. The Buddha taught that renouncing the world in favor ofthe life of a monk or nun made one spiritually superior, and women wanted him to form an order of nuns to offer women the sameopportunities for withdrawal from the world that his order of monks (the sangha) had for men. According to Buddhist tradition, the Buddhahesitated a long time, and finally </w:t>
      </w:r>
      <w:r w:rsidRPr="00B67784">
        <w:rPr>
          <w:rFonts w:ascii="Cambria" w:eastAsia="Times New Roman" w:hAnsi="Cambria" w:cs="Times New Roman"/>
          <w:color w:val="000000"/>
          <w:sz w:val="24"/>
          <w:szCs w:val="24"/>
        </w:rPr>
        <w:lastRenderedPageBreak/>
        <w:t>established an order for nuns, but gave them special rules that stressed their subordinate status to monksand placed them clearly under male control. Despite these restrictions, women eagerly joined this new type of religious life, and during thefirst centuries of Buddhism nuns often sponsored large building projects and made donations for spiritual causes.</w:t>
      </w:r>
    </w:p>
    <w:p w14:paraId="106F96F7" w14:textId="77777777" w:rsidR="00B67784" w:rsidRPr="00B67784" w:rsidRDefault="00B67784" w:rsidP="00B67784">
      <w:pPr>
        <w:shd w:val="clear" w:color="auto" w:fill="FFFFFF"/>
        <w:spacing w:after="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Buddhism spread in all directions from northern India, and split into a number of branches. In the first century ce, a series of movementscentered around new scriptures arose, calling themselves the Mahayana (“Greater Vehicle”); these became predominant in Tibet, China,Korea, Vietnam, and Japan. (Buddhism disappeared in its homeland of India after about 1200 ce as people returned to Hinduism or adoptedIslam.) In Mahayana Buddhism, the ultimate religious ideal is to become a buddha, and multiple buddhas can exist at one time. Those on theBuddhist path are termed </w:t>
      </w:r>
      <w:r w:rsidRPr="00B67784">
        <w:rPr>
          <w:rFonts w:ascii="inherit" w:eastAsia="Times New Roman" w:hAnsi="inherit" w:cs="Times New Roman"/>
          <w:i/>
          <w:iCs/>
          <w:color w:val="000000"/>
          <w:sz w:val="24"/>
          <w:szCs w:val="24"/>
          <w:bdr w:val="none" w:sz="0" w:space="0" w:color="auto" w:frame="1"/>
        </w:rPr>
        <w:t>bodhisattvas</w:t>
      </w:r>
      <w:r w:rsidRPr="00B67784">
        <w:rPr>
          <w:rFonts w:ascii="Cambria" w:eastAsia="Times New Roman" w:hAnsi="Cambria" w:cs="Times New Roman"/>
          <w:color w:val="000000"/>
          <w:sz w:val="24"/>
          <w:szCs w:val="24"/>
        </w:rPr>
        <w:t>, who were also expected to help others on their own paths. In the other major division of Buddhism,Theravada (“Way of the Elders”), which centered in Sri Lanka and most of Southeast Asia, only one buddha could appear in a cosmic age, sothe ultimate religious ideal is the </w:t>
      </w:r>
      <w:r w:rsidRPr="00B67784">
        <w:rPr>
          <w:rFonts w:ascii="inherit" w:eastAsia="Times New Roman" w:hAnsi="inherit" w:cs="Times New Roman"/>
          <w:i/>
          <w:iCs/>
          <w:color w:val="000000"/>
          <w:sz w:val="24"/>
          <w:szCs w:val="24"/>
          <w:bdr w:val="none" w:sz="0" w:space="0" w:color="auto" w:frame="1"/>
        </w:rPr>
        <w:t>arhat</w:t>
      </w:r>
      <w:r w:rsidRPr="00B67784">
        <w:rPr>
          <w:rFonts w:ascii="Cambria" w:eastAsia="Times New Roman" w:hAnsi="Cambria" w:cs="Times New Roman"/>
          <w:color w:val="000000"/>
          <w:sz w:val="24"/>
          <w:szCs w:val="24"/>
        </w:rPr>
        <w:t>, an individual who achieves full enlightenment and is thus freed from material existence andreincarnation. Women and men could become both arhats and boddhisattvas, some of whom are regarded as celestial beings rather thanhistorical persons and are themselves worshipped. Some Mahayana texts suggest, however, that women must be reborn as men before theycan become buddhas, and Theravada Buddhists believe that one of the predictions of future buddhahood – a very rare event – is male sex.</w:t>
      </w:r>
    </w:p>
    <w:p w14:paraId="23FF4731" w14:textId="77777777" w:rsidR="00B67784" w:rsidRPr="00B67784" w:rsidRDefault="00B67784" w:rsidP="00B67784">
      <w:pPr>
        <w:shd w:val="clear" w:color="auto" w:fill="FFFFFF"/>
        <w:spacing w:after="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Despite the popularity of some female bodhisattvas such as Kuan Yin in China, human women who chose a life of religious devotion as nunswere often regarded with suspicion. The ideal woman in Buddhism – both historically and in sacred texts – was more often a lay woman whosupported a community of monks or who assisted men in their spiritual progress rather than a nun. By about the fifth century ce in India,nuns appear to have become much poorer and less popular, with the communities of monks who were regarded as spiritually superiorreceiving more support. In China, nuns were quite influential during the earliest centuries of the spread of Buddhism, before it was fullyestablished, and Chinese women later established con- vents in Taiwan, Korea, Japan, and Vietnam. (In fact, convents that trace their historyback to Chinese nuns, including several in the United States today, are the only orthodox lineage of fully ordained nuns left in Buddhism.)Convents later lost popularity, however, and the biographies written later about prominent early nuns – a collection called </w:t>
      </w:r>
      <w:r w:rsidRPr="00B67784">
        <w:rPr>
          <w:rFonts w:ascii="inherit" w:eastAsia="Times New Roman" w:hAnsi="inherit" w:cs="Times New Roman"/>
          <w:i/>
          <w:iCs/>
          <w:color w:val="000000"/>
          <w:sz w:val="24"/>
          <w:szCs w:val="24"/>
          <w:bdr w:val="none" w:sz="0" w:space="0" w:color="auto" w:frame="1"/>
        </w:rPr>
        <w:t>Lives of theEminent Nuns</w:t>
      </w:r>
      <w:r w:rsidRPr="00B67784">
        <w:rPr>
          <w:rFonts w:ascii="Cambria" w:eastAsia="Times New Roman" w:hAnsi="Cambria" w:cs="Times New Roman"/>
          <w:color w:val="000000"/>
          <w:sz w:val="24"/>
          <w:szCs w:val="24"/>
        </w:rPr>
        <w:t> was edited as early as 516 ce – also transformed them into women who fit better with Confucian ideals. Along with skills inmeditation and teaching prized by Buddhists, the Chinese nuns were always portrayed as showing filial piety toward their parents, with theircelibacy viewed as a special divine gift, not something that most women could or should emulate. </w:t>
      </w:r>
      <w:r w:rsidRPr="00B67784">
        <w:rPr>
          <w:rFonts w:ascii="inherit" w:eastAsia="Times New Roman" w:hAnsi="inherit" w:cs="Times New Roman"/>
          <w:i/>
          <w:iCs/>
          <w:color w:val="000000"/>
          <w:sz w:val="24"/>
          <w:szCs w:val="24"/>
          <w:bdr w:val="none" w:sz="0" w:space="0" w:color="auto" w:frame="1"/>
        </w:rPr>
        <w:t>Lives of the</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Eminent Nuns</w:t>
      </w:r>
      <w:r w:rsidRPr="00B67784">
        <w:rPr>
          <w:rFonts w:ascii="Cambria" w:eastAsia="Times New Roman" w:hAnsi="Cambria" w:cs="Times New Roman"/>
          <w:color w:val="000000"/>
          <w:sz w:val="24"/>
          <w:szCs w:val="24"/>
        </w:rPr>
        <w:t> was written by amale monk, as were most of the other major Buddhist works of history and doctrine, and some scholars have noted that because of itsauthorship the written record has probably downplayed the role of women and lay people in the development and dissemination of Buddhistteachings. Some contemporary Buddhists are attempting to separate the more egalitarian teachings from their generally misogynist monasticoverlay, both to develop a more accurate view of Buddhism in the past and to make their own spiritual lives in the present more satisfying.</w:t>
      </w:r>
    </w:p>
    <w:p w14:paraId="135AE4E4" w14:textId="77777777" w:rsidR="00B67784" w:rsidRPr="00B67784" w:rsidRDefault="00B67784" w:rsidP="00B67784">
      <w:pPr>
        <w:shd w:val="clear" w:color="auto" w:fill="FFFFFF"/>
        <w:spacing w:after="24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Developing new emphases within Buddhism is a well-established pattern. The Chan school of Buddhist thought developed first in sixth-</w:t>
      </w:r>
      <w:r w:rsidRPr="00B67784">
        <w:rPr>
          <w:rFonts w:ascii="Cambria" w:eastAsia="Times New Roman" w:hAnsi="Cambria" w:cs="Times New Roman"/>
          <w:color w:val="000000"/>
          <w:sz w:val="24"/>
          <w:szCs w:val="24"/>
        </w:rPr>
        <w:lastRenderedPageBreak/>
        <w:t>century China and later spread (as Zen) to Japan, while Vajrayana or Tantric Buddhism developed in fifth-century north India and later spreadto Tibet. Chan (Zen) Buddhism – which has become increasingly popular in Western cultures since the 1960s – centers on intense meditationunder the close guidance of a master teacher, of which a few have been or are currently women. Vajrayana Buddhism (of which the followersof the Dalai Lama are the best-known practitioners) also emphasizes meditation and a close teacher/pupil relationship, and it has elaborateesoteric rituals that are often filled with sexual imagery and practices. Both Zen and Tantra hold out the possibility of full enlightenment –described as achieving buddhahood – in this body and this life for both men and women, without the need for cycles of reincarnation. It hasalways been easier for men to reject the expected path of marriage and family in order to seek such enlightenment, however, and maleteachers continue to predominate in both groups.</w:t>
      </w:r>
    </w:p>
    <w:p w14:paraId="210BBA40" w14:textId="77777777" w:rsidR="00B67784" w:rsidRPr="00B67784" w:rsidRDefault="00B67784" w:rsidP="00B67784">
      <w:pPr>
        <w:numPr>
          <w:ilvl w:val="0"/>
          <w:numId w:val="12"/>
        </w:numPr>
        <w:spacing w:after="0" w:line="270" w:lineRule="atLeast"/>
        <w:ind w:left="0"/>
        <w:rPr>
          <w:rFonts w:ascii="inherit" w:eastAsia="Times New Roman" w:hAnsi="inherit" w:cs="Times New Roman"/>
          <w:color w:val="808080"/>
          <w:sz w:val="20"/>
          <w:szCs w:val="20"/>
        </w:rPr>
      </w:pPr>
      <w:hyperlink r:id="rId44" w:history="1">
        <w:r w:rsidRPr="00B67784">
          <w:rPr>
            <w:rFonts w:ascii="inherit" w:eastAsia="Times New Roman" w:hAnsi="inherit" w:cs="Times New Roman"/>
            <w:color w:val="0069D6"/>
            <w:sz w:val="20"/>
            <w:szCs w:val="20"/>
            <w:u w:val="single"/>
            <w:bdr w:val="none" w:sz="0" w:space="0" w:color="auto" w:frame="1"/>
          </w:rPr>
          <w:t>Notebook</w:t>
        </w:r>
      </w:hyperlink>
    </w:p>
    <w:p w14:paraId="5B2E6B4B" w14:textId="77777777" w:rsidR="00B67784" w:rsidRPr="00B67784" w:rsidRDefault="00B67784" w:rsidP="00B67784">
      <w:pPr>
        <w:numPr>
          <w:ilvl w:val="0"/>
          <w:numId w:val="13"/>
        </w:numPr>
        <w:spacing w:after="0" w:line="270" w:lineRule="atLeast"/>
        <w:ind w:left="0"/>
        <w:rPr>
          <w:rFonts w:ascii="inherit" w:eastAsia="Times New Roman" w:hAnsi="inherit" w:cs="Times New Roman"/>
          <w:color w:val="808080"/>
          <w:sz w:val="20"/>
          <w:szCs w:val="20"/>
        </w:rPr>
      </w:pPr>
      <w:hyperlink r:id="rId45" w:history="1">
        <w:r w:rsidRPr="00B67784">
          <w:rPr>
            <w:rFonts w:ascii="inherit" w:eastAsia="Times New Roman" w:hAnsi="inherit" w:cs="Times New Roman"/>
            <w:color w:val="0069D6"/>
            <w:sz w:val="20"/>
            <w:szCs w:val="20"/>
            <w:u w:val="single"/>
            <w:bdr w:val="none" w:sz="0" w:space="0" w:color="auto" w:frame="1"/>
          </w:rPr>
          <w:t>My Bookshelf</w:t>
        </w:r>
      </w:hyperlink>
    </w:p>
    <w:p w14:paraId="1ED6F650" w14:textId="77777777" w:rsidR="00B67784" w:rsidRPr="00B67784" w:rsidRDefault="00B67784" w:rsidP="00B67784">
      <w:pPr>
        <w:numPr>
          <w:ilvl w:val="0"/>
          <w:numId w:val="13"/>
        </w:numPr>
        <w:spacing w:after="0" w:line="270" w:lineRule="atLeast"/>
        <w:ind w:left="0"/>
        <w:rPr>
          <w:rFonts w:ascii="inherit" w:eastAsia="Times New Roman" w:hAnsi="inherit" w:cs="Times New Roman"/>
          <w:color w:val="808080"/>
          <w:sz w:val="20"/>
          <w:szCs w:val="20"/>
        </w:rPr>
      </w:pPr>
      <w:hyperlink r:id="rId46" w:anchor="toc" w:history="1">
        <w:r w:rsidRPr="00B67784">
          <w:rPr>
            <w:rFonts w:ascii="inherit" w:eastAsia="Times New Roman" w:hAnsi="inherit" w:cs="Times New Roman"/>
            <w:color w:val="0069D6"/>
            <w:sz w:val="20"/>
            <w:szCs w:val="20"/>
            <w:u w:val="single"/>
            <w:bdr w:val="none" w:sz="0" w:space="0" w:color="auto" w:frame="1"/>
          </w:rPr>
          <w:t>TOC/Annotation menu</w:t>
        </w:r>
      </w:hyperlink>
    </w:p>
    <w:p w14:paraId="37B41B47" w14:textId="77777777" w:rsidR="00B67784" w:rsidRPr="00B67784" w:rsidRDefault="00B67784" w:rsidP="00B67784">
      <w:pPr>
        <w:numPr>
          <w:ilvl w:val="0"/>
          <w:numId w:val="14"/>
        </w:numPr>
        <w:spacing w:after="0" w:line="270" w:lineRule="atLeast"/>
        <w:ind w:left="0"/>
        <w:rPr>
          <w:rFonts w:ascii="inherit" w:eastAsia="Times New Roman" w:hAnsi="inherit" w:cs="Times New Roman"/>
          <w:color w:val="808080"/>
          <w:sz w:val="20"/>
          <w:szCs w:val="20"/>
        </w:rPr>
      </w:pPr>
      <w:hyperlink r:id="rId47" w:anchor="options" w:history="1">
        <w:r w:rsidRPr="00B67784">
          <w:rPr>
            <w:rFonts w:ascii="inherit" w:eastAsia="Times New Roman" w:hAnsi="inherit" w:cs="Times New Roman"/>
            <w:color w:val="0069D6"/>
            <w:sz w:val="20"/>
            <w:szCs w:val="20"/>
            <w:u w:val="single"/>
            <w:bdr w:val="none" w:sz="0" w:space="0" w:color="auto" w:frame="1"/>
          </w:rPr>
          <w:t>Downloads</w:t>
        </w:r>
      </w:hyperlink>
    </w:p>
    <w:p w14:paraId="13873FD3" w14:textId="77777777" w:rsidR="00B67784" w:rsidRPr="00B67784" w:rsidRDefault="00B67784" w:rsidP="00B67784">
      <w:pPr>
        <w:numPr>
          <w:ilvl w:val="0"/>
          <w:numId w:val="14"/>
        </w:numPr>
        <w:spacing w:after="0" w:line="270" w:lineRule="atLeast"/>
        <w:ind w:left="0"/>
        <w:rPr>
          <w:rFonts w:ascii="inherit" w:eastAsia="Times New Roman" w:hAnsi="inherit" w:cs="Times New Roman"/>
          <w:color w:val="808080"/>
          <w:sz w:val="20"/>
          <w:szCs w:val="20"/>
        </w:rPr>
      </w:pPr>
      <w:hyperlink r:id="rId48" w:history="1">
        <w:r w:rsidRPr="00B67784">
          <w:rPr>
            <w:rFonts w:ascii="inherit" w:eastAsia="Times New Roman" w:hAnsi="inherit" w:cs="Times New Roman"/>
            <w:color w:val="0069D6"/>
            <w:sz w:val="20"/>
            <w:szCs w:val="20"/>
            <w:u w:val="single"/>
            <w:bdr w:val="none" w:sz="0" w:space="0" w:color="auto" w:frame="1"/>
          </w:rPr>
          <w:t>Print</w:t>
        </w:r>
      </w:hyperlink>
    </w:p>
    <w:p w14:paraId="46A82AA3" w14:textId="77777777" w:rsidR="00B67784" w:rsidRPr="00B67784" w:rsidRDefault="00B67784" w:rsidP="00B67784">
      <w:pPr>
        <w:numPr>
          <w:ilvl w:val="0"/>
          <w:numId w:val="14"/>
        </w:numPr>
        <w:spacing w:after="0" w:line="270" w:lineRule="atLeast"/>
        <w:ind w:left="0"/>
        <w:rPr>
          <w:rFonts w:ascii="inherit" w:eastAsia="Times New Roman" w:hAnsi="inherit" w:cs="Times New Roman"/>
          <w:color w:val="808080"/>
          <w:sz w:val="20"/>
          <w:szCs w:val="20"/>
        </w:rPr>
      </w:pPr>
      <w:hyperlink r:id="rId49" w:anchor="search" w:history="1">
        <w:r w:rsidRPr="00B67784">
          <w:rPr>
            <w:rFonts w:ascii="inherit" w:eastAsia="Times New Roman" w:hAnsi="inherit" w:cs="Times New Roman"/>
            <w:color w:val="0069D6"/>
            <w:sz w:val="20"/>
            <w:szCs w:val="20"/>
            <w:u w:val="single"/>
            <w:bdr w:val="none" w:sz="0" w:space="0" w:color="auto" w:frame="1"/>
          </w:rPr>
          <w:t>Search</w:t>
        </w:r>
      </w:hyperlink>
    </w:p>
    <w:p w14:paraId="3C7896C4" w14:textId="77777777" w:rsidR="00B67784" w:rsidRPr="00B67784" w:rsidRDefault="00B67784" w:rsidP="00B67784">
      <w:pPr>
        <w:numPr>
          <w:ilvl w:val="0"/>
          <w:numId w:val="14"/>
        </w:numPr>
        <w:spacing w:after="0" w:line="270" w:lineRule="atLeast"/>
        <w:ind w:left="75"/>
        <w:rPr>
          <w:rFonts w:ascii="inherit" w:eastAsia="Times New Roman" w:hAnsi="inherit" w:cs="Times New Roman"/>
          <w:color w:val="808080"/>
          <w:sz w:val="20"/>
          <w:szCs w:val="20"/>
        </w:rPr>
      </w:pPr>
      <w:hyperlink r:id="rId50" w:anchor="profile" w:history="1">
        <w:r w:rsidRPr="00B67784">
          <w:rPr>
            <w:rFonts w:ascii="inherit" w:eastAsia="Times New Roman" w:hAnsi="inherit" w:cs="Times New Roman"/>
            <w:color w:val="0069D6"/>
            <w:sz w:val="20"/>
            <w:szCs w:val="20"/>
            <w:u w:val="single"/>
            <w:bdr w:val="none" w:sz="0" w:space="0" w:color="auto" w:frame="1"/>
          </w:rPr>
          <w:t>Profile</w:t>
        </w:r>
      </w:hyperlink>
    </w:p>
    <w:p w14:paraId="793CB817" w14:textId="77777777" w:rsidR="00B67784" w:rsidRPr="00B67784" w:rsidRDefault="00B67784" w:rsidP="00B67784">
      <w:pPr>
        <w:numPr>
          <w:ilvl w:val="0"/>
          <w:numId w:val="14"/>
        </w:numPr>
        <w:spacing w:after="0" w:line="270" w:lineRule="atLeast"/>
        <w:ind w:left="30"/>
        <w:rPr>
          <w:rFonts w:ascii="inherit" w:eastAsia="Times New Roman" w:hAnsi="inherit" w:cs="Times New Roman"/>
          <w:color w:val="808080"/>
          <w:sz w:val="20"/>
          <w:szCs w:val="20"/>
        </w:rPr>
      </w:pPr>
      <w:hyperlink r:id="rId51" w:anchor="help" w:history="1">
        <w:r w:rsidRPr="00B67784">
          <w:rPr>
            <w:rFonts w:ascii="inherit" w:eastAsia="Times New Roman" w:hAnsi="inherit" w:cs="Times New Roman"/>
            <w:color w:val="0069D6"/>
            <w:sz w:val="20"/>
            <w:szCs w:val="20"/>
            <w:u w:val="single"/>
            <w:bdr w:val="none" w:sz="0" w:space="0" w:color="auto" w:frame="1"/>
          </w:rPr>
          <w:t>Help</w:t>
        </w:r>
      </w:hyperlink>
    </w:p>
    <w:p w14:paraId="296F30DC" w14:textId="77777777" w:rsidR="00B67784" w:rsidRPr="00B67784" w:rsidRDefault="00B67784" w:rsidP="00B67784">
      <w:pPr>
        <w:spacing w:after="270" w:line="750" w:lineRule="atLeast"/>
        <w:jc w:val="center"/>
        <w:outlineLvl w:val="0"/>
        <w:rPr>
          <w:rFonts w:ascii="inherit" w:eastAsia="Times New Roman" w:hAnsi="inherit" w:cs="Times New Roman"/>
          <w:b/>
          <w:bCs/>
          <w:color w:val="EFEFEF"/>
          <w:kern w:val="36"/>
          <w:sz w:val="26"/>
          <w:szCs w:val="26"/>
        </w:rPr>
      </w:pPr>
      <w:r w:rsidRPr="00B67784">
        <w:rPr>
          <w:rFonts w:ascii="inherit" w:eastAsia="Times New Roman" w:hAnsi="inherit" w:cs="Times New Roman"/>
          <w:b/>
          <w:bCs/>
          <w:color w:val="EFEFEF"/>
          <w:kern w:val="36"/>
          <w:sz w:val="26"/>
          <w:szCs w:val="26"/>
        </w:rPr>
        <w:t>5.5 Christianity (from 30 CE)</w:t>
      </w:r>
    </w:p>
    <w:p w14:paraId="29B22DFB" w14:textId="77777777" w:rsidR="00B67784" w:rsidRPr="00B67784" w:rsidRDefault="00B67784" w:rsidP="00B67784">
      <w:pPr>
        <w:shd w:val="clear" w:color="auto" w:fill="EDECE5"/>
        <w:spacing w:after="0" w:line="240" w:lineRule="auto"/>
        <w:rPr>
          <w:rFonts w:ascii="Times New Roman" w:eastAsia="Times New Roman" w:hAnsi="Times New Roman" w:cs="Times New Roman"/>
          <w:sz w:val="24"/>
          <w:szCs w:val="24"/>
        </w:rPr>
      </w:pPr>
      <w:hyperlink r:id="rId52" w:tooltip="[PrevSection]" w:history="1">
        <w:r w:rsidRPr="00B67784">
          <w:rPr>
            <w:rFonts w:ascii="inherit" w:eastAsia="Times New Roman" w:hAnsi="inherit" w:cs="Times New Roman"/>
            <w:color w:val="0069D6"/>
            <w:sz w:val="20"/>
            <w:szCs w:val="20"/>
            <w:u w:val="single"/>
            <w:bdr w:val="none" w:sz="0" w:space="0" w:color="auto" w:frame="1"/>
          </w:rPr>
          <w:t>Previous section</w:t>
        </w:r>
      </w:hyperlink>
    </w:p>
    <w:p w14:paraId="339AC9A8" w14:textId="77777777" w:rsidR="00B67784" w:rsidRPr="00B67784" w:rsidRDefault="00B67784" w:rsidP="00B67784">
      <w:pPr>
        <w:shd w:val="clear" w:color="auto" w:fill="EDECE5"/>
        <w:spacing w:after="0" w:line="240" w:lineRule="auto"/>
        <w:rPr>
          <w:rFonts w:ascii="Times New Roman" w:eastAsia="Times New Roman" w:hAnsi="Times New Roman" w:cs="Times New Roman"/>
          <w:sz w:val="24"/>
          <w:szCs w:val="24"/>
        </w:rPr>
      </w:pPr>
      <w:hyperlink r:id="rId53" w:tooltip="Next Section" w:history="1">
        <w:r w:rsidRPr="00B67784">
          <w:rPr>
            <w:rFonts w:ascii="inherit" w:eastAsia="Times New Roman" w:hAnsi="inherit" w:cs="Times New Roman"/>
            <w:color w:val="0069D6"/>
            <w:sz w:val="20"/>
            <w:szCs w:val="20"/>
            <w:u w:val="single"/>
            <w:bdr w:val="none" w:sz="0" w:space="0" w:color="auto" w:frame="1"/>
          </w:rPr>
          <w:t>Next section</w:t>
        </w:r>
      </w:hyperlink>
    </w:p>
    <w:p w14:paraId="5436F2D8" w14:textId="77777777" w:rsidR="00B67784" w:rsidRPr="00B67784" w:rsidRDefault="00B67784" w:rsidP="00B67784">
      <w:pPr>
        <w:spacing w:before="30" w:after="288" w:line="240" w:lineRule="auto"/>
        <w:jc w:val="center"/>
        <w:rPr>
          <w:rFonts w:ascii="Cambria" w:eastAsia="Times New Roman" w:hAnsi="Cambria" w:cs="Times New Roman"/>
          <w:b/>
          <w:bCs/>
          <w:color w:val="000000"/>
          <w:sz w:val="36"/>
          <w:szCs w:val="36"/>
        </w:rPr>
      </w:pPr>
      <w:r w:rsidRPr="00B67784">
        <w:rPr>
          <w:rFonts w:ascii="Cambria" w:eastAsia="Times New Roman" w:hAnsi="Cambria" w:cs="Times New Roman"/>
          <w:b/>
          <w:bCs/>
          <w:color w:val="000000"/>
          <w:sz w:val="36"/>
          <w:szCs w:val="36"/>
        </w:rPr>
        <w:t>5.5 Christianity (from 30 CE)</w:t>
      </w:r>
    </w:p>
    <w:p w14:paraId="5B0F26E1" w14:textId="77777777" w:rsidR="00B67784" w:rsidRPr="00B67784" w:rsidRDefault="00B67784" w:rsidP="00B67784">
      <w:pPr>
        <w:shd w:val="clear" w:color="auto" w:fill="FFFFFF"/>
        <w:spacing w:after="240" w:line="240" w:lineRule="auto"/>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The mixed messages about the relative value of men and women found in Buddhism may also be found in Christianity, which is based on theteachings of Jesus of Nazareth, called the Christ (a Greek translation of the Hebrew word Messiah meaning “anointed one”), who wasapparently executed by the Romans about 30 ce and is believed by Christians to have been resurrected from the dead three days later. Jesus’teachings and life story are recorded in the first four books of the New Testament, called the Gospels, written several decades after his death.Women figure prominently in the Gospels, listening to and speaking with Jesus; in two of the Gospels (Mark and Matthew) they are the first tosee Jesus after his resurrection and were told to give the good news (which is what the word “Gospel” means) to his other followers.</w:t>
      </w:r>
    </w:p>
    <w:p w14:paraId="6F535A7B" w14:textId="77777777" w:rsidR="00B67784" w:rsidRPr="00B67784" w:rsidRDefault="00B67784" w:rsidP="00B67784">
      <w:pPr>
        <w:shd w:val="clear" w:color="auto" w:fill="FFFFFF"/>
        <w:spacing w:after="24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Women took an active role in the spread of Christianity, preaching, acting as missionaries, and being martyred alongside men. EarlyChristians expected Jesus to return to earth again very soon, and so taught that one should concentrate on this Second Coming. Because ofthis, marriage and normal family life should be abandoned, and Christians should depend on their new spiritual family of cobelievers; earlyChristians often met in people’s homes and c</w:t>
      </w:r>
      <w:r w:rsidRPr="00B67784">
        <w:rPr>
          <w:rFonts w:ascii="Cambria" w:eastAsia="Times New Roman" w:hAnsi="Cambria" w:cs="Times New Roman"/>
          <w:color w:val="000000"/>
          <w:sz w:val="24"/>
          <w:szCs w:val="24"/>
        </w:rPr>
        <w:lastRenderedPageBreak/>
        <w:t>alled each other brother and sister, a metaphorical use of family terms that was new to theRoman Empire in which Christianity developed. This made Christians seem dangerous to many Romans, especially when becoming Christianactually led some young people to avoid marriage, viewed by Romans as the foundation of society and the proper patriarchal order.</w:t>
      </w:r>
    </w:p>
    <w:p w14:paraId="6BC30B3B" w14:textId="77777777" w:rsidR="00B67784" w:rsidRPr="00B67784" w:rsidRDefault="00B67784" w:rsidP="00B67784">
      <w:pPr>
        <w:shd w:val="clear" w:color="auto" w:fill="FFFFFF"/>
        <w:spacing w:after="24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Not all Christian teachings about gender were radical, however. Many of Jesus’ early followers, particularly the Apostle Paul whose lettersmake up a major part of the New Testament, had ambivalent ideas about women’s proper role in the church, and began in the first century ceto place restrictions on female believers. Paul and later writers forbade women to preach, and women were gradually excluded from holdingofficial positions within Christianity. Both Jewish and classical Mediterranean culture viewed female subordination as natural and proper, sothat in limiting the activities of female believers Christianity was following well-established patterns, in the same way that it patterned itsofficial hierarchy after that of the Roman Empire.</w:t>
      </w:r>
    </w:p>
    <w:p w14:paraId="3492BBAA" w14:textId="77777777" w:rsidR="00B67784" w:rsidRPr="00B67784" w:rsidRDefault="00B67784" w:rsidP="00B67784">
      <w:pPr>
        <w:shd w:val="clear" w:color="auto" w:fill="FFFFFF"/>
        <w:spacing w:after="24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Some of Christianity’s most radical teachings about gender also came to have negative consequences for women. In its first centuries, somewomen embraced the ideal of virginity and either singly or in communities declared themselves “virgins in the service of Christ.” Many churchleaders were uncomfortable with such a clear rejection of Roman family models, particularly as they were attempting to make Christianitymore socially acceptable. They asserted that women who chose a life of virginity were not to use this as a reason for escaping the normalrestrictions on women. Some of these leaders also advocated a life of virginity for men, but this led to a strong streak of misogyny in theirwritings, for they saw women and female sexuality as the chief obstacles to this preferred existence; because they wrote far more thanwomen and their writings were preserved, their opinions came to be much more influential than those of the women who chose virginity. Themost important theologian in the western Christian Church, St Augustine, linked sexuality clearly with sin by viewing sexual desire as theresult of disobedience to divine instructions by Adam and Eve, the first humans. The tendency to sin was passed down, in Augustine’sopinion, through sexual intercourse, so that even infants were tainted with this Original Sin. Christian Scripture offered positive commentsabout marriage and procreation – Jesus himself had blessed a wedding with a miracle – so that Augustine could not reject them completely,but he and later Christian writers clearly regarded virginity as the preferred state of existence and particularly condemned any sexual activitywhich could not lead to children, such as homosexual acts or masturbation.</w:t>
      </w:r>
    </w:p>
    <w:p w14:paraId="7C362B84" w14:textId="77777777" w:rsidR="00B67784" w:rsidRPr="00B67784" w:rsidRDefault="00B67784" w:rsidP="00B67784">
      <w:pPr>
        <w:shd w:val="clear" w:color="auto" w:fill="FFFFFF"/>
        <w:spacing w:after="24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Christianity became the official religion of the Roman Empire in the fourth century, and gradually spread throughout all of Europe and theMediterranean. As was the case with Buddhism, women were often active in spreading Christian ideas, especially within their own families,and women’s monastic communities were under the leadership of female abbesses; Jesus’ mother Mary became an important figure ofdevotion, as did female as well as male saints. Outside of women’s monasteries, however, all Christian officials were men, who wereincreasingly expected to follow a distinctive life-pattern, though this differed slightly in the two branches of the Christian Church, theOrthodox Church of eastern Europe and the Roman (Catholic) Church of western Europe. In easter</w:t>
      </w:r>
      <w:r w:rsidRPr="00B67784">
        <w:rPr>
          <w:rFonts w:ascii="Cambria" w:eastAsia="Times New Roman" w:hAnsi="Cambria" w:cs="Times New Roman"/>
          <w:color w:val="000000"/>
          <w:sz w:val="24"/>
          <w:szCs w:val="24"/>
        </w:rPr>
        <w:lastRenderedPageBreak/>
        <w:t>n Europe, married men could becomepriests, though a man who was unmarried when ordained as a priest was expected to remain unmarried and married priests could not moveup the church hierarchy and become bishops. In the twelfth century, church councils in the Roman Church forbade all priests to marry anddeclared marriages which did exist invalid, driving priests’ wives and children from their homes; at the same time it condemned homosexualactivities more sharply. The policy of clerical celibacy proved difficult to enforce, and for centuries priests and higher officials simply tookconcubines. (Though in doing this they were technically “celibate,” a word that actually means “not married” rather than “chaste.”)</w:t>
      </w:r>
    </w:p>
    <w:p w14:paraId="45306116" w14:textId="77777777" w:rsidR="00B67784" w:rsidRPr="00B67784" w:rsidRDefault="00B67784" w:rsidP="00B67784">
      <w:pPr>
        <w:shd w:val="clear" w:color="auto" w:fill="FFFFFF"/>
        <w:spacing w:after="24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In the thirteenth century, church councils expanded the power of priests, decreeing that they had the power to absolve sins throughconfession and to change bread and wine into the body and blood of Christ to be consumed by believers during the Eucharist, the centralritual of Christianity (a transformation termed “transubstantiation”). Thus priests, who were all male, had powers that no woman (ornonordained man, including kings) had, a situation that continues to today within Roman Catholicism. The special powers of the priest makethe conflict over the ordination of women especially heated within Roman Catholicism, with many observers predicting that the CatholicChurch will admit married men as priests long before it accepts women. (Such admittance actually began in 2009, when the Catholic Churchagreed to accept traditionalist Anglicans, including their married priests, who had left the Anglican Church because of its acceptance ofwomen and openly gay men as priests.)</w:t>
      </w:r>
    </w:p>
    <w:p w14:paraId="6C0965D3" w14:textId="77777777" w:rsidR="00B67784" w:rsidRPr="00B67784" w:rsidRDefault="00B67784" w:rsidP="00B67784">
      <w:pPr>
        <w:shd w:val="clear" w:color="auto" w:fill="FFFFFF"/>
        <w:spacing w:after="24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Clerical celibacy was rejected by the religious leaders in western Europe who broke with the Catholic Church in the sixteenth century andeventually formed their own churches, later labeled Protestant. Protestant denominations – Lutheran, Anglican, Calvinist, and laterMethodist, Baptist, and many others – differed on many points of doctrine, but they agreed that the clergy should be married heads ofhousehold and that monastic life had no value. Thus there was no separate religious vocation open to women, who were urged to expresstheir devotion within the family as “helpmeet” to their husband and guide to their children. Protestantism proclaimed family life as the idealfor all men and women, and unmarried people of both sexes were increasingly suspect. This ideal was communicated to people throughsermons and printed books (the printing press was invented in Germany shortly before the Protestant Reformation), and the Catholic Churchresponded by promoting its own promarriage literature, some of which predated the Protestant Reformation. Scholars differ sharply aboutthe impact of Protestantism; some see it as elevating the status of most women in its praise of marriage, others see it as limiting women bydenying them the opportunity for education and independence in monasteries and stressing wifely obedience, and still others see it as havinglittle impact, with its stress on marriage a response to economic and social changes that had already occurred, and not a cause of thosechanges.</w:t>
      </w:r>
    </w:p>
    <w:p w14:paraId="3F9451E1" w14:textId="77777777" w:rsidR="00B67784" w:rsidRPr="00B67784" w:rsidRDefault="00B67784" w:rsidP="00B67784">
      <w:pPr>
        <w:shd w:val="clear" w:color="auto" w:fill="FFFFFF"/>
        <w:spacing w:after="24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At about the same time as the Protestant Reformation, European Christians – both Protestants and Catholics – became increasinglyconcerned about witches in their midst. They combined traditional ideas about witch- craft found in almost all cultures – that witches areindividuals who use their connection with the spirit world to do harm – with specifically Christian ideas – that witches are individuals whomake pacts with the Devil and do his bidding. Especially in central and northern Europe, this combination led to the interrogation and trial ofmany people, and the execution of perhaps 50,000 to 100,000 individuals. The gender bal</w:t>
      </w:r>
      <w:r w:rsidRPr="00B67784">
        <w:rPr>
          <w:rFonts w:ascii="Cambria" w:eastAsia="Times New Roman" w:hAnsi="Cambria" w:cs="Times New Roman"/>
          <w:color w:val="000000"/>
          <w:sz w:val="24"/>
          <w:szCs w:val="24"/>
        </w:rPr>
        <w:lastRenderedPageBreak/>
        <w:t>ance varied in different parts of Europe, but inEurope as a whole about 80 percent of those questioned, tried, and executed for witchcraft after 1500 were women. The reasons for this arecomplex: women were viewed as weaker and so more likely to give in to the Devil’s charms or use scolding and cursing to get what theywanted; they had more contact with areas of life in which bad things happened unexpectedly, such as preparing food or caring for newmothers, children, and animals; they were associated with nature, disorder, and the body, all of which were linked with the demonic.Europeans took their notions of witch- craft with them to the New World; a few people, most of them women, were executed for witchcraft inthe European colonies in North America, and in the Andean region of South America, older native women who had fled to mountainous areasand refused to become Christians were charged with witchcraft and idolatry. Some European thinkers even blamed witchcraft on theexplorations, asserting that demons had decided to return to Europe from the Americas once Christian missionaries were there, and so werepossessing and seducing many more people than they had in the Middle Ages.</w:t>
      </w:r>
    </w:p>
    <w:p w14:paraId="3815F2E4" w14:textId="77777777" w:rsidR="00B67784" w:rsidRPr="00B67784" w:rsidRDefault="00B67784" w:rsidP="00B67784">
      <w:pPr>
        <w:shd w:val="clear" w:color="auto" w:fill="FFFFFF"/>
        <w:spacing w:after="24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Since the sixteenth century, Protestantism has continued to splinter into more and more groups, with extremely diverse ideas about gender.Some of these, such as the Quakers, allowed women to preach as early as the seventeenth century, while others, such as the Amish, SouthernBaptists, and Wisconsin synod Lutherans, continue to view patriarchal leadership as essential. Some Protestant groups developed radicallydifferent family forms and sexual patterns: Moravians determined marital partners by a lottery, Shakers saw complete chastity as a way tomake men and women equal, Mormons (whose religion is based on the Bible along with other texts) practiced polygamy. In the twentiethcentury, many Protestants began to term themselves “fundamentalists,” downplaying more complicated issues of doctrine and largelysupporting a conservative social agenda. In the United States, this came to focus in the 1980s on the issues of abortion, gay rights, prayer inschools, and what were labeled “traditional family values.” Fundamentalist groups often broke from the Protestant denominations that haddeveloped in previous centuries to form nondenominational community churches, though some denominations, such as the Baptists, werealso largely fundamentalist. At the same time, some Protestant denominations, or individual churches within them, became increasinglyliberal on gender issues, allowing not only women but also actively practicing homosexuals as clergy. At the beginning of the twenty-firstcentury, many seminaries in the United States were training more women than men to be pastors, and it is difficult to predict how this willaffect Christianity in future.</w:t>
      </w:r>
    </w:p>
    <w:p w14:paraId="3D13D99D" w14:textId="77777777" w:rsidR="00B67784" w:rsidRPr="00B67784" w:rsidRDefault="00B67784" w:rsidP="00B67784">
      <w:pPr>
        <w:shd w:val="clear" w:color="auto" w:fill="FFFFFF"/>
        <w:spacing w:after="24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The Protestant Reformation occurred concurrently with the beginning of European colonization, which took Christianity around the world.Indeed, the conversion of indigenous people was one of the primary justifications for conquering new territories. Christian officials tried toimpose European gender patterns – monogamous marriage, male-headed households, limited (or no) divorce – but where these conflictedwith existing patterns they were often modified and what emerged was a blend of indigenous and imported practices. Such syncretismtypified other aspects of Christian beliefs and practices as well, for conversion was not a single event, but a process in which new beliefs andpractices were selectively adopted, blended with existing ones, and openly, unknowingly, or surreptitiously rejected. In some areas, such asthe Andes of South America and the Philippines, women had been important leaders in animistic religions, and they were stronger opponentsof convers</w:t>
      </w:r>
      <w:r w:rsidRPr="00B67784">
        <w:rPr>
          <w:rFonts w:ascii="Cambria" w:eastAsia="Times New Roman" w:hAnsi="Cambria" w:cs="Times New Roman"/>
          <w:color w:val="000000"/>
          <w:sz w:val="24"/>
          <w:szCs w:val="24"/>
        </w:rPr>
        <w:lastRenderedPageBreak/>
        <w:t>ion than were men; this pattern was enhanced by male missionaries’ focus on boys and young men in their initial conversionefforts. In other areas, women became fervent Christians, confessing and doing penance for their sins so intensively they harmed their health,and using priests and church courts to oppose their husbands or other male family members.</w:t>
      </w:r>
    </w:p>
    <w:p w14:paraId="3D902C22" w14:textId="77777777" w:rsidR="00B67784" w:rsidRPr="00B67784" w:rsidRDefault="00B67784" w:rsidP="00B67784">
      <w:pPr>
        <w:shd w:val="clear" w:color="auto" w:fill="FFFFFF"/>
        <w:spacing w:after="24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Most scholars of colonization and imperialism view the activities of Christian authorities and missionaries as leading to a sharpenedgender hierarchy, for religious leaders paid little attention to women’s activities and either misunderstood or opposed women’s power. Theywere also complicit in the establishment and maintenance of the racial hierarchies we traced in chapter 2, regulating marriage and othertypes of sexual activities so as to maintain boundaries. In the immediate postcolonial period, Christianity was often rejected as a remnant ofthe colonial past, but this began to change in the late twentieth century, and the formerly colonial world now has the fastest growing Christianchurches, many of them nondenominational and fundamentalist rather than more traditional Catholic or Protestant; in 2010, nearly two-thirds of the world’s Christians live outside Europe and North America. These churches are appealing to people whose cultural values areshaped by animism, Hinduism, Buddhism, and various other religions, and the norms they are establishing in regard to gender also draw onmany traditions, with churches often deciding individually how they will handle issues such as polygamy, child marriage, remarriage ofwidows, and other issues in which local traditions conflict with traditional Christian teachings. Because Christianity is declining inimportance in Western society – except for the United States – it is clear that what is regarded as “traditional” in Christianity may also change,and that because of migration, these debates will be played out not only in the former colonies, but in Europe and North America as well.</w:t>
      </w:r>
    </w:p>
    <w:p w14:paraId="5EF9F4DC" w14:textId="77777777" w:rsidR="00B67784" w:rsidRPr="00B67784" w:rsidRDefault="00B67784" w:rsidP="00B67784">
      <w:pPr>
        <w:numPr>
          <w:ilvl w:val="0"/>
          <w:numId w:val="15"/>
        </w:numPr>
        <w:spacing w:after="0" w:line="270" w:lineRule="atLeast"/>
        <w:ind w:left="0"/>
        <w:rPr>
          <w:rFonts w:ascii="inherit" w:eastAsia="Times New Roman" w:hAnsi="inherit" w:cs="Times New Roman"/>
          <w:color w:val="808080"/>
          <w:sz w:val="20"/>
          <w:szCs w:val="20"/>
        </w:rPr>
      </w:pPr>
      <w:hyperlink r:id="rId54" w:history="1">
        <w:r w:rsidRPr="00B67784">
          <w:rPr>
            <w:rFonts w:ascii="inherit" w:eastAsia="Times New Roman" w:hAnsi="inherit" w:cs="Times New Roman"/>
            <w:color w:val="0069D6"/>
            <w:sz w:val="20"/>
            <w:szCs w:val="20"/>
            <w:u w:val="single"/>
            <w:bdr w:val="none" w:sz="0" w:space="0" w:color="auto" w:frame="1"/>
          </w:rPr>
          <w:t>Notebook</w:t>
        </w:r>
      </w:hyperlink>
    </w:p>
    <w:p w14:paraId="2EE37B98" w14:textId="77777777" w:rsidR="00B67784" w:rsidRPr="00B67784" w:rsidRDefault="00B67784" w:rsidP="00B67784">
      <w:pPr>
        <w:numPr>
          <w:ilvl w:val="0"/>
          <w:numId w:val="16"/>
        </w:numPr>
        <w:spacing w:after="0" w:line="270" w:lineRule="atLeast"/>
        <w:ind w:left="0"/>
        <w:rPr>
          <w:rFonts w:ascii="inherit" w:eastAsia="Times New Roman" w:hAnsi="inherit" w:cs="Times New Roman"/>
          <w:color w:val="808080"/>
          <w:sz w:val="20"/>
          <w:szCs w:val="20"/>
        </w:rPr>
      </w:pPr>
      <w:hyperlink r:id="rId55" w:history="1">
        <w:r w:rsidRPr="00B67784">
          <w:rPr>
            <w:rFonts w:ascii="inherit" w:eastAsia="Times New Roman" w:hAnsi="inherit" w:cs="Times New Roman"/>
            <w:color w:val="0069D6"/>
            <w:sz w:val="20"/>
            <w:szCs w:val="20"/>
            <w:u w:val="single"/>
            <w:bdr w:val="none" w:sz="0" w:space="0" w:color="auto" w:frame="1"/>
          </w:rPr>
          <w:t>My Bookshelf</w:t>
        </w:r>
      </w:hyperlink>
    </w:p>
    <w:p w14:paraId="68095035" w14:textId="77777777" w:rsidR="00B67784" w:rsidRPr="00B67784" w:rsidRDefault="00B67784" w:rsidP="00B67784">
      <w:pPr>
        <w:numPr>
          <w:ilvl w:val="0"/>
          <w:numId w:val="16"/>
        </w:numPr>
        <w:spacing w:after="0" w:line="270" w:lineRule="atLeast"/>
        <w:ind w:left="0"/>
        <w:rPr>
          <w:rFonts w:ascii="inherit" w:eastAsia="Times New Roman" w:hAnsi="inherit" w:cs="Times New Roman"/>
          <w:color w:val="808080"/>
          <w:sz w:val="20"/>
          <w:szCs w:val="20"/>
        </w:rPr>
      </w:pPr>
      <w:hyperlink r:id="rId56" w:anchor="toc" w:history="1">
        <w:r w:rsidRPr="00B67784">
          <w:rPr>
            <w:rFonts w:ascii="inherit" w:eastAsia="Times New Roman" w:hAnsi="inherit" w:cs="Times New Roman"/>
            <w:color w:val="0069D6"/>
            <w:sz w:val="20"/>
            <w:szCs w:val="20"/>
            <w:u w:val="single"/>
            <w:bdr w:val="none" w:sz="0" w:space="0" w:color="auto" w:frame="1"/>
          </w:rPr>
          <w:t>TOC/Annotation menu</w:t>
        </w:r>
      </w:hyperlink>
    </w:p>
    <w:p w14:paraId="4856E0DD" w14:textId="77777777" w:rsidR="00B67784" w:rsidRPr="00B67784" w:rsidRDefault="00B67784" w:rsidP="00B67784">
      <w:pPr>
        <w:numPr>
          <w:ilvl w:val="0"/>
          <w:numId w:val="17"/>
        </w:numPr>
        <w:spacing w:after="0" w:line="270" w:lineRule="atLeast"/>
        <w:ind w:left="0"/>
        <w:rPr>
          <w:rFonts w:ascii="inherit" w:eastAsia="Times New Roman" w:hAnsi="inherit" w:cs="Times New Roman"/>
          <w:color w:val="808080"/>
          <w:sz w:val="20"/>
          <w:szCs w:val="20"/>
        </w:rPr>
      </w:pPr>
      <w:hyperlink r:id="rId57" w:anchor="options" w:history="1">
        <w:r w:rsidRPr="00B67784">
          <w:rPr>
            <w:rFonts w:ascii="inherit" w:eastAsia="Times New Roman" w:hAnsi="inherit" w:cs="Times New Roman"/>
            <w:color w:val="0069D6"/>
            <w:sz w:val="20"/>
            <w:szCs w:val="20"/>
            <w:u w:val="single"/>
            <w:bdr w:val="none" w:sz="0" w:space="0" w:color="auto" w:frame="1"/>
          </w:rPr>
          <w:t>Downloads</w:t>
        </w:r>
      </w:hyperlink>
    </w:p>
    <w:p w14:paraId="47FD4F6F" w14:textId="77777777" w:rsidR="00B67784" w:rsidRPr="00B67784" w:rsidRDefault="00B67784" w:rsidP="00B67784">
      <w:pPr>
        <w:numPr>
          <w:ilvl w:val="0"/>
          <w:numId w:val="17"/>
        </w:numPr>
        <w:spacing w:after="0" w:line="270" w:lineRule="atLeast"/>
        <w:ind w:left="0"/>
        <w:rPr>
          <w:rFonts w:ascii="inherit" w:eastAsia="Times New Roman" w:hAnsi="inherit" w:cs="Times New Roman"/>
          <w:color w:val="808080"/>
          <w:sz w:val="20"/>
          <w:szCs w:val="20"/>
        </w:rPr>
      </w:pPr>
      <w:hyperlink r:id="rId58" w:history="1">
        <w:r w:rsidRPr="00B67784">
          <w:rPr>
            <w:rFonts w:ascii="inherit" w:eastAsia="Times New Roman" w:hAnsi="inherit" w:cs="Times New Roman"/>
            <w:color w:val="0069D6"/>
            <w:sz w:val="20"/>
            <w:szCs w:val="20"/>
            <w:u w:val="single"/>
            <w:bdr w:val="none" w:sz="0" w:space="0" w:color="auto" w:frame="1"/>
          </w:rPr>
          <w:t>Print</w:t>
        </w:r>
      </w:hyperlink>
    </w:p>
    <w:p w14:paraId="5BDD244C" w14:textId="77777777" w:rsidR="00B67784" w:rsidRPr="00B67784" w:rsidRDefault="00B67784" w:rsidP="00B67784">
      <w:pPr>
        <w:numPr>
          <w:ilvl w:val="0"/>
          <w:numId w:val="17"/>
        </w:numPr>
        <w:spacing w:after="0" w:line="270" w:lineRule="atLeast"/>
        <w:ind w:left="0"/>
        <w:rPr>
          <w:rFonts w:ascii="inherit" w:eastAsia="Times New Roman" w:hAnsi="inherit" w:cs="Times New Roman"/>
          <w:color w:val="808080"/>
          <w:sz w:val="20"/>
          <w:szCs w:val="20"/>
        </w:rPr>
      </w:pPr>
      <w:hyperlink r:id="rId59" w:anchor="search" w:history="1">
        <w:r w:rsidRPr="00B67784">
          <w:rPr>
            <w:rFonts w:ascii="inherit" w:eastAsia="Times New Roman" w:hAnsi="inherit" w:cs="Times New Roman"/>
            <w:color w:val="0069D6"/>
            <w:sz w:val="20"/>
            <w:szCs w:val="20"/>
            <w:u w:val="single"/>
            <w:bdr w:val="none" w:sz="0" w:space="0" w:color="auto" w:frame="1"/>
          </w:rPr>
          <w:t>Search</w:t>
        </w:r>
      </w:hyperlink>
    </w:p>
    <w:p w14:paraId="4DC662AE" w14:textId="77777777" w:rsidR="00B67784" w:rsidRPr="00B67784" w:rsidRDefault="00B67784" w:rsidP="00B67784">
      <w:pPr>
        <w:numPr>
          <w:ilvl w:val="0"/>
          <w:numId w:val="17"/>
        </w:numPr>
        <w:spacing w:after="0" w:line="270" w:lineRule="atLeast"/>
        <w:ind w:left="75"/>
        <w:rPr>
          <w:rFonts w:ascii="inherit" w:eastAsia="Times New Roman" w:hAnsi="inherit" w:cs="Times New Roman"/>
          <w:color w:val="808080"/>
          <w:sz w:val="20"/>
          <w:szCs w:val="20"/>
        </w:rPr>
      </w:pPr>
      <w:hyperlink r:id="rId60" w:anchor="profile" w:history="1">
        <w:r w:rsidRPr="00B67784">
          <w:rPr>
            <w:rFonts w:ascii="inherit" w:eastAsia="Times New Roman" w:hAnsi="inherit" w:cs="Times New Roman"/>
            <w:color w:val="0069D6"/>
            <w:sz w:val="20"/>
            <w:szCs w:val="20"/>
            <w:u w:val="single"/>
            <w:bdr w:val="none" w:sz="0" w:space="0" w:color="auto" w:frame="1"/>
          </w:rPr>
          <w:t>Profile</w:t>
        </w:r>
      </w:hyperlink>
    </w:p>
    <w:p w14:paraId="4EC49CB4" w14:textId="77777777" w:rsidR="00B67784" w:rsidRPr="00B67784" w:rsidRDefault="00B67784" w:rsidP="00B67784">
      <w:pPr>
        <w:numPr>
          <w:ilvl w:val="0"/>
          <w:numId w:val="17"/>
        </w:numPr>
        <w:spacing w:after="0" w:line="270" w:lineRule="atLeast"/>
        <w:ind w:left="30"/>
        <w:rPr>
          <w:rFonts w:ascii="inherit" w:eastAsia="Times New Roman" w:hAnsi="inherit" w:cs="Times New Roman"/>
          <w:color w:val="808080"/>
          <w:sz w:val="20"/>
          <w:szCs w:val="20"/>
        </w:rPr>
      </w:pPr>
      <w:hyperlink r:id="rId61" w:anchor="help" w:history="1">
        <w:r w:rsidRPr="00B67784">
          <w:rPr>
            <w:rFonts w:ascii="inherit" w:eastAsia="Times New Roman" w:hAnsi="inherit" w:cs="Times New Roman"/>
            <w:color w:val="0069D6"/>
            <w:sz w:val="20"/>
            <w:szCs w:val="20"/>
            <w:u w:val="single"/>
            <w:bdr w:val="none" w:sz="0" w:space="0" w:color="auto" w:frame="1"/>
          </w:rPr>
          <w:t>Help</w:t>
        </w:r>
      </w:hyperlink>
    </w:p>
    <w:p w14:paraId="67BC8A04" w14:textId="77777777" w:rsidR="00B67784" w:rsidRPr="00B67784" w:rsidRDefault="00B67784" w:rsidP="00B67784">
      <w:pPr>
        <w:spacing w:after="270" w:line="750" w:lineRule="atLeast"/>
        <w:jc w:val="center"/>
        <w:outlineLvl w:val="0"/>
        <w:rPr>
          <w:rFonts w:ascii="inherit" w:eastAsia="Times New Roman" w:hAnsi="inherit" w:cs="Times New Roman"/>
          <w:b/>
          <w:bCs/>
          <w:color w:val="EFEFEF"/>
          <w:kern w:val="36"/>
          <w:sz w:val="26"/>
          <w:szCs w:val="26"/>
        </w:rPr>
      </w:pPr>
      <w:r w:rsidRPr="00B67784">
        <w:rPr>
          <w:rFonts w:ascii="inherit" w:eastAsia="Times New Roman" w:hAnsi="inherit" w:cs="Times New Roman"/>
          <w:b/>
          <w:bCs/>
          <w:color w:val="EFEFEF"/>
          <w:kern w:val="36"/>
          <w:sz w:val="26"/>
          <w:szCs w:val="26"/>
        </w:rPr>
        <w:t>5.6 Islam (from 600 CE)</w:t>
      </w:r>
    </w:p>
    <w:p w14:paraId="4707B97B" w14:textId="77777777" w:rsidR="00B67784" w:rsidRPr="00B67784" w:rsidRDefault="00B67784" w:rsidP="00B67784">
      <w:pPr>
        <w:shd w:val="clear" w:color="auto" w:fill="EDECE5"/>
        <w:spacing w:after="0" w:line="240" w:lineRule="auto"/>
        <w:rPr>
          <w:rFonts w:ascii="Times New Roman" w:eastAsia="Times New Roman" w:hAnsi="Times New Roman" w:cs="Times New Roman"/>
          <w:sz w:val="24"/>
          <w:szCs w:val="24"/>
        </w:rPr>
      </w:pPr>
      <w:hyperlink r:id="rId62" w:tooltip="[PrevSection]" w:history="1">
        <w:r w:rsidRPr="00B67784">
          <w:rPr>
            <w:rFonts w:ascii="inherit" w:eastAsia="Times New Roman" w:hAnsi="inherit" w:cs="Times New Roman"/>
            <w:color w:val="0069D6"/>
            <w:sz w:val="20"/>
            <w:szCs w:val="20"/>
            <w:u w:val="single"/>
            <w:bdr w:val="none" w:sz="0" w:space="0" w:color="auto" w:frame="1"/>
          </w:rPr>
          <w:t>Previous section</w:t>
        </w:r>
      </w:hyperlink>
    </w:p>
    <w:p w14:paraId="0E639175" w14:textId="77777777" w:rsidR="00B67784" w:rsidRPr="00B67784" w:rsidRDefault="00B67784" w:rsidP="00B67784">
      <w:pPr>
        <w:shd w:val="clear" w:color="auto" w:fill="EDECE5"/>
        <w:spacing w:after="0" w:line="240" w:lineRule="auto"/>
        <w:rPr>
          <w:rFonts w:ascii="Times New Roman" w:eastAsia="Times New Roman" w:hAnsi="Times New Roman" w:cs="Times New Roman"/>
          <w:sz w:val="24"/>
          <w:szCs w:val="24"/>
        </w:rPr>
      </w:pPr>
      <w:hyperlink r:id="rId63" w:tooltip="Next Section" w:history="1">
        <w:r w:rsidRPr="00B67784">
          <w:rPr>
            <w:rFonts w:ascii="inherit" w:eastAsia="Times New Roman" w:hAnsi="inherit" w:cs="Times New Roman"/>
            <w:color w:val="0069D6"/>
            <w:sz w:val="20"/>
            <w:szCs w:val="20"/>
            <w:u w:val="single"/>
            <w:bdr w:val="none" w:sz="0" w:space="0" w:color="auto" w:frame="1"/>
          </w:rPr>
          <w:t>Next section</w:t>
        </w:r>
      </w:hyperlink>
    </w:p>
    <w:p w14:paraId="1CCFECF4" w14:textId="77777777" w:rsidR="00B67784" w:rsidRPr="00B67784" w:rsidRDefault="00B67784" w:rsidP="00B67784">
      <w:pPr>
        <w:spacing w:before="30" w:after="288" w:line="240" w:lineRule="auto"/>
        <w:jc w:val="center"/>
        <w:rPr>
          <w:rFonts w:ascii="Cambria" w:eastAsia="Times New Roman" w:hAnsi="Cambria" w:cs="Times New Roman"/>
          <w:b/>
          <w:bCs/>
          <w:color w:val="000000"/>
          <w:sz w:val="36"/>
          <w:szCs w:val="36"/>
        </w:rPr>
      </w:pPr>
      <w:r w:rsidRPr="00B67784">
        <w:rPr>
          <w:rFonts w:ascii="Cambria" w:eastAsia="Times New Roman" w:hAnsi="Cambria" w:cs="Times New Roman"/>
          <w:b/>
          <w:bCs/>
          <w:color w:val="000000"/>
          <w:sz w:val="36"/>
          <w:szCs w:val="36"/>
        </w:rPr>
        <w:t>5.6 Islam (from 600 CE)</w:t>
      </w:r>
    </w:p>
    <w:p w14:paraId="6FC21000" w14:textId="77777777" w:rsidR="00B67784" w:rsidRPr="00B67784" w:rsidRDefault="00B67784" w:rsidP="00B67784">
      <w:pPr>
        <w:shd w:val="clear" w:color="auto" w:fill="FFFFFF"/>
        <w:spacing w:after="0" w:line="240" w:lineRule="auto"/>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If the interplay between gender and religion is an issue in contemporary Christianity, it is even more of an issue in contemporary Islam, andall sides draw on history to buttress their position. The debates always go back to the very beginning of Islam, which was founded in Arabiaby the religious reformer and visionary Muhammad (ca. 570–632 ce). Muhammad’s revelations were written down by his followers duringhis lifetime, a</w:t>
      </w:r>
      <w:r w:rsidRPr="00B67784">
        <w:rPr>
          <w:rFonts w:ascii="Cambria" w:eastAsia="Times New Roman" w:hAnsi="Cambria" w:cs="Times New Roman"/>
          <w:color w:val="000000"/>
          <w:sz w:val="24"/>
          <w:szCs w:val="24"/>
        </w:rPr>
        <w:lastRenderedPageBreak/>
        <w:t>nd shortly thereafter organized into an authoritative text, the Qur’an, regarded by Muslims as the direct words of God to hisProphet Muhammad and there- fore especially revered. (These revelations were in Arabic; if Muslims use translations in other languages,they do so alongside the original Arabic.) At the same time, other sayings and accounts of Muhammad, which gave advice on matters whichwent beyond the Qur’an, were collected into books termed </w:t>
      </w:r>
      <w:r w:rsidRPr="00B67784">
        <w:rPr>
          <w:rFonts w:ascii="inherit" w:eastAsia="Times New Roman" w:hAnsi="inherit" w:cs="Times New Roman"/>
          <w:i/>
          <w:iCs/>
          <w:color w:val="000000"/>
          <w:sz w:val="24"/>
          <w:szCs w:val="24"/>
          <w:bdr w:val="none" w:sz="0" w:space="0" w:color="auto" w:frame="1"/>
        </w:rPr>
        <w:t>Hadith</w:t>
      </w:r>
      <w:r w:rsidRPr="00B67784">
        <w:rPr>
          <w:rFonts w:ascii="Cambria" w:eastAsia="Times New Roman" w:hAnsi="Cambria" w:cs="Times New Roman"/>
          <w:color w:val="000000"/>
          <w:sz w:val="24"/>
          <w:szCs w:val="24"/>
        </w:rPr>
        <w:t>, which are second only to the Qur’an in authority. In these works, marriageis recommended for everyone, heterosexual sex is approved for both procreation and pleasure, and homosexual acts are condemned; theemphasis on marriage has meant that unmarried men are not accepted as teachers, judges, or religious leaders in traditional Muslimsocieties, and that men who are attracted to other men often marry and have children as well.</w:t>
      </w:r>
    </w:p>
    <w:p w14:paraId="02ECB528" w14:textId="77777777" w:rsidR="00B67784" w:rsidRPr="00B67784" w:rsidRDefault="00B67784" w:rsidP="00B67784">
      <w:pPr>
        <w:shd w:val="clear" w:color="auto" w:fill="FFFFFF"/>
        <w:spacing w:after="24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Many scholars note that the Qur’an holds men and women to be fully equal in God’s eyes; both are capable of going to heaven andresponsible for carrying out the duties of believers for themselves. They argue that restrictions on women under Islam came from pre-Muslimpractices and are thus not essential to the faith; men veiled their wives on marriage, for example, as early as the third millennium BCE in theTigris and Euphrates valleys (present-day Iraq). They note that Muhammad’s first wife, Khadijah, convinced him to take his religious visionsseriously; she was never veiled and the Prophet did not marry other wives until after her death. Other scholars point out that the Qur’an doesmake clear distinctions between men and women; it allows men to have up to four wives and to divorce a wife quite easily, sets a daughter’sshare of inheritance at half that of a son’s, and orders that the Prophet’s later wives be secluded.</w:t>
      </w:r>
    </w:p>
    <w:p w14:paraId="4DEE7B66" w14:textId="77777777" w:rsidR="00B67784" w:rsidRPr="00B67784" w:rsidRDefault="00B67784" w:rsidP="00B67784">
      <w:pPr>
        <w:shd w:val="clear" w:color="auto" w:fill="FFFFFF"/>
        <w:spacing w:after="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Debates about how to interpret the Qur’an are extremely important in Islam because of the book’s special stature, but gender structuresalso have other bases, including religious law – the shari’a – which is regarded as having divine authority. Though women played a major rolein the early development of Islam – as they had in Christianity – and appear to have prayed and attended religious ceremonies in public, afterthe first generation the seclusion of women became an official part of the shari’a. Men are to fulfill their religious obligations publicly, atmosques and other communal gatherings, and women in the home, though they generally have access to a separate section of the mosqueunless they are ritually unclean (because of menstruation or childbirth). The shari’a views marriage as a reciprocal relationship in which thehusband provides support in exchange for the wife’s obedience; this support is to continue – at least in theory – even if he divorces her. Alongwith the shari’a, the words of religious leaders – termed </w:t>
      </w:r>
      <w:r w:rsidRPr="00B67784">
        <w:rPr>
          <w:rFonts w:ascii="inherit" w:eastAsia="Times New Roman" w:hAnsi="inherit" w:cs="Times New Roman"/>
          <w:i/>
          <w:iCs/>
          <w:color w:val="000000"/>
          <w:sz w:val="24"/>
          <w:szCs w:val="24"/>
          <w:bdr w:val="none" w:sz="0" w:space="0" w:color="auto" w:frame="1"/>
        </w:rPr>
        <w:t>mullas</w:t>
      </w:r>
      <w:r w:rsidRPr="00B67784">
        <w:rPr>
          <w:rFonts w:ascii="Cambria" w:eastAsia="Times New Roman" w:hAnsi="Cambria" w:cs="Times New Roman"/>
          <w:color w:val="000000"/>
          <w:sz w:val="24"/>
          <w:szCs w:val="24"/>
        </w:rPr>
        <w:t> or </w:t>
      </w:r>
      <w:r w:rsidRPr="00B67784">
        <w:rPr>
          <w:rFonts w:ascii="inherit" w:eastAsia="Times New Roman" w:hAnsi="inherit" w:cs="Times New Roman"/>
          <w:i/>
          <w:iCs/>
          <w:color w:val="000000"/>
          <w:sz w:val="24"/>
          <w:szCs w:val="24"/>
          <w:bdr w:val="none" w:sz="0" w:space="0" w:color="auto" w:frame="1"/>
        </w:rPr>
        <w:t>imams</w:t>
      </w:r>
      <w:r w:rsidRPr="00B67784">
        <w:rPr>
          <w:rFonts w:ascii="Cambria" w:eastAsia="Times New Roman" w:hAnsi="Cambria" w:cs="Times New Roman"/>
          <w:color w:val="000000"/>
          <w:sz w:val="24"/>
          <w:szCs w:val="24"/>
        </w:rPr>
        <w:t> – carried (and continue to carry) great weight, particularly amongthe branch of Islam termed </w:t>
      </w:r>
      <w:r w:rsidRPr="00B67784">
        <w:rPr>
          <w:rFonts w:ascii="inherit" w:eastAsia="Times New Roman" w:hAnsi="inherit" w:cs="Times New Roman"/>
          <w:i/>
          <w:iCs/>
          <w:color w:val="000000"/>
          <w:sz w:val="24"/>
          <w:szCs w:val="24"/>
          <w:bdr w:val="none" w:sz="0" w:space="0" w:color="auto" w:frame="1"/>
        </w:rPr>
        <w:t>Shi’ite</w:t>
      </w:r>
      <w:r w:rsidRPr="00B67784">
        <w:rPr>
          <w:rFonts w:ascii="Cambria" w:eastAsia="Times New Roman" w:hAnsi="Cambria" w:cs="Times New Roman"/>
          <w:color w:val="000000"/>
          <w:sz w:val="24"/>
          <w:szCs w:val="24"/>
        </w:rPr>
        <w:t>, which regards Muhammad’s cousin and son-in-law Ali to have been designated by the Prophet as the firstsuch divinely inspired imam. The statements of a mulla on such issues as proper clothing for women, the treatment of law-breakers, or theguardianship of children after divorce often shaped gender on a day-to-day basis more than the words of the Qur’an or the shari’a on whichthey are based.</w:t>
      </w:r>
    </w:p>
    <w:p w14:paraId="5100D6EA" w14:textId="77777777" w:rsidR="00B67784" w:rsidRPr="00B67784" w:rsidRDefault="00B67784" w:rsidP="00B67784">
      <w:pPr>
        <w:shd w:val="clear" w:color="auto" w:fill="FFFFFF"/>
        <w:spacing w:after="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Islam spread quickly throughout northern Africa and the Near East in the century after Muhammad, and then more slowly to other parts ofAsia, Africa, and Europe. Intermarriage between Arab traders and local women was often essential to its growth, with women providingaccess to economic and political power through their kin networks and serving as brokers between indigenous and imported cultures.Islamic law and practices mixed with existing </w:t>
      </w:r>
      <w:r w:rsidRPr="00B67784">
        <w:rPr>
          <w:rFonts w:ascii="Cambria" w:eastAsia="Times New Roman" w:hAnsi="Cambria" w:cs="Times New Roman"/>
          <w:color w:val="000000"/>
          <w:sz w:val="24"/>
          <w:szCs w:val="24"/>
        </w:rPr>
        <w:lastRenderedPageBreak/>
        <w:t>traditions, creating a broad range of marital practices, rituals, and norms of behavior for menand women. A few cultures, such as the Tuareg in western Sudan, adopted Islam without veiling women, but in general by the fourteenthcentury, Muslim women were veiled. By this time as well the tradition developed that mentioning a woman’s name dishonored her, so thatmen referred to their own wives simply as “my home” or “the weak one.” In India, both Islam and a stricter Hinduism favored the seclusion ofwomen – termed </w:t>
      </w:r>
      <w:r w:rsidRPr="00B67784">
        <w:rPr>
          <w:rFonts w:ascii="inherit" w:eastAsia="Times New Roman" w:hAnsi="inherit" w:cs="Times New Roman"/>
          <w:i/>
          <w:iCs/>
          <w:color w:val="000000"/>
          <w:sz w:val="24"/>
          <w:szCs w:val="24"/>
          <w:bdr w:val="none" w:sz="0" w:space="0" w:color="auto" w:frame="1"/>
        </w:rPr>
        <w:t>purdah</w:t>
      </w:r>
      <w:r w:rsidRPr="00B67784">
        <w:rPr>
          <w:rFonts w:ascii="Cambria" w:eastAsia="Times New Roman" w:hAnsi="Cambria" w:cs="Times New Roman"/>
          <w:color w:val="000000"/>
          <w:sz w:val="24"/>
          <w:szCs w:val="24"/>
        </w:rPr>
        <w:t> – although the strictness and exact rules of this varied according to social status and location; wealthy urban womenwere generally the most secluded, while poor rural women – the vast majority of the population – worked alongside male family members.</w:t>
      </w:r>
    </w:p>
    <w:p w14:paraId="2841BE34" w14:textId="77777777" w:rsidR="00B67784" w:rsidRPr="00B67784" w:rsidRDefault="00B67784" w:rsidP="00B67784">
      <w:pPr>
        <w:shd w:val="clear" w:color="auto" w:fill="FFFFFF"/>
        <w:spacing w:after="24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Recent research has indicated, however, that even wealthy women may have been more active economically and legally than the rules ofseclusion suggested, particularly in the large area controlled by the Ottoman Turks who conquered Arab lands and much of southeasternEurope in the early sixteenth century. Islamic law grants women less inheritance than their brothers, but this remains theirs and does notpass to their husbands upon marriage as it did in most Christian societies until the mid-nineteenth century.</w:t>
      </w:r>
    </w:p>
    <w:p w14:paraId="7D2A99A5" w14:textId="77777777" w:rsidR="00B67784" w:rsidRPr="00B67784" w:rsidRDefault="00B67784" w:rsidP="00B67784">
      <w:pPr>
        <w:shd w:val="clear" w:color="auto" w:fill="FFFFFF"/>
        <w:spacing w:after="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Thus wealthy Muslim women often used their money to establish schools, hospitals, or mosques, invested it in business activities, orpassed it on to their female relatives. In addition, women of the lower classes often developed their own rituals within a Muslim frameworkcentered on the home; Iranian Shi-ite women, for example, practiced a food ritual called </w:t>
      </w:r>
      <w:r w:rsidRPr="00B67784">
        <w:rPr>
          <w:rFonts w:ascii="inherit" w:eastAsia="Times New Roman" w:hAnsi="inherit" w:cs="Times New Roman"/>
          <w:i/>
          <w:iCs/>
          <w:color w:val="000000"/>
          <w:sz w:val="24"/>
          <w:szCs w:val="24"/>
          <w:bdr w:val="none" w:sz="0" w:space="0" w:color="auto" w:frame="1"/>
        </w:rPr>
        <w:t>Sofreh</w:t>
      </w:r>
      <w:r w:rsidRPr="00B67784">
        <w:rPr>
          <w:rFonts w:ascii="Cambria" w:eastAsia="Times New Roman" w:hAnsi="Cambria" w:cs="Times New Roman"/>
          <w:color w:val="000000"/>
          <w:sz w:val="24"/>
          <w:szCs w:val="24"/>
        </w:rPr>
        <w:t> designed to establish connections withMuhammad’s daughter Fatima and other female saints. (Saints in Islam do not go through a formal process of canonization as they do inChristianity, but are recognized because of miraculous deeds or post-mortem communications with the living; some saints are venerated overa wide area and others only locally.) Women in Saudi Arabia served as spiritual healers and developed their own religious rituals when theywere excluded from the sacred precincts of the mosque with the spread of conservative Wahhabist Islam. In some areas, such as in Chinaduring the Qing dynasty (1644–1911), Muslim women even had their own mosques and female religious leaders.</w:t>
      </w:r>
    </w:p>
    <w:p w14:paraId="66553717" w14:textId="77777777" w:rsidR="00B67784" w:rsidRPr="00B67784" w:rsidRDefault="00B67784" w:rsidP="00B67784">
      <w:pPr>
        <w:shd w:val="clear" w:color="auto" w:fill="FFFFFF"/>
        <w:spacing w:after="24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Women often combined (and continue to combine) animistic and Muslim beliefs in rituals to ward off evil spirits and invoke the assistanceof both good spirits and Muslim saints; religious officials denigrate such practices and periodically attempt to prohibit them, but both menand women who consider themselves good Muslims believe firmly in their efficacy. For many centuries women and men have also beenattracted to Sufism, a mystical movement within Islam that emphasizes direct union with God.</w:t>
      </w:r>
    </w:p>
    <w:p w14:paraId="6E2F59C6" w14:textId="77777777" w:rsidR="00B67784" w:rsidRPr="00B67784" w:rsidRDefault="00B67784" w:rsidP="00B67784">
      <w:pPr>
        <w:shd w:val="clear" w:color="auto" w:fill="FFFFFF"/>
        <w:spacing w:after="24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During the nineteenth and twentieth centuries, the Muslim world was part of the process of colonialism and anticolonialism that will bediscussed in more detail in chapter 5. Particularly in countries such as Egypt and Turkey intent on modernization, men and women debatedthe extent to which the shari’a could be reformed to allow greater gender equality in such issues as divorce and inheritance, or whetherwomen’s liberation inevitably meant a weakening of Islam. In some countries, reform-minded women, usually of the urban middle classes,adopted Western dress and began to attend universities in the early twentieth century; both women and men were active as demonstrators,organizers, and even fighters in the twentieth- century nationalist movements in t</w:t>
      </w:r>
      <w:r w:rsidRPr="00B67784">
        <w:rPr>
          <w:rFonts w:ascii="Cambria" w:eastAsia="Times New Roman" w:hAnsi="Cambria" w:cs="Times New Roman"/>
          <w:color w:val="000000"/>
          <w:sz w:val="24"/>
          <w:szCs w:val="24"/>
        </w:rPr>
        <w:lastRenderedPageBreak/>
        <w:t>he Islamic world and a few legal reforms were enacted.During the 1970s and 1980s, many of these reforms were revoked as more conservative religious leaders gained power in many Muslimcountries, most prominently Iran. This movement of fundamentalist activism within Islam has made a conservative view of gender a primarysymbol of Islamic purity against Western cultural imperialism and commercialism; it has proven attractive not only to men, but to womenwho view it as providing them with greater security, and affirming their social, moral, and religious values. Muslim women in many parts ofthe world have adopted the veil or other types of covering dress as a way to work or travel outside the home without being subject to maleharassment. They regard Muslim dress as a means of empowering themselves, while others – both Muslims and non-Muslims – have viewed itas an example of women’s oppression. As with other types of religious symbols involving gender, the veil clearly has multiple meanings thatvary with the individual and with the political setting.</w:t>
      </w:r>
    </w:p>
    <w:p w14:paraId="2993FAC4" w14:textId="77777777" w:rsidR="00B67784" w:rsidRPr="00B67784" w:rsidRDefault="00B67784" w:rsidP="00B67784">
      <w:pPr>
        <w:shd w:val="clear" w:color="auto" w:fill="FFFFFF"/>
        <w:spacing w:after="24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In addition to the religious traditions discussed here, there have been and continue to be many others around the world: state religions thatno longer exist such as those of the Aztecs, Incas, or Romans; state religions that continue to exist, such as Shinto in Japan; South Asianreligions that developed concurrently with Hinduism, such as Jainism, or later, such as Sikhism; religions that seek to unite all world religions,such as the Bahá’í faith; religions that center on more recent charismatic leaders and their ideas, such as the Mormons, Christian Scientists, orUnification Church. Originally many of these religions were highly localized, but with steadily increasing migration of people throughout theworld, adherents now often live next door to one another. Some of these other religions, and many groups within the major world religionsdiscussed in this chapter, are also very successful in their conversion efforts. In contrast to native language, skin color, or ethnic background,religious adherence is to some degree changeable and chosen, with converts often the most vocal advocates for their new faith. Thus thecontemporary religious picture is very complex, with variety and conflicts within groups and among them, some of which are the basis forcivil wars and other types of violence.</w:t>
      </w:r>
    </w:p>
    <w:p w14:paraId="2D07F22B" w14:textId="77777777" w:rsidR="00B67784" w:rsidRPr="00B67784" w:rsidRDefault="00B67784" w:rsidP="00B67784">
      <w:pPr>
        <w:shd w:val="clear" w:color="auto" w:fill="FFFFFF"/>
        <w:spacing w:after="24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Every religious tradition has ideas about proper gender relations and the relative value of the devotion and worship of male and femaleadherents; every one stipulates or suggests rules for the way men and women are to act. In many, however, these messages are contradictoryand ambiguous, with adherents often able to find support for their own views within them. Thus within most religions there is afundamentalist wing, advocating stronger gender distinctions and hierarchy, and a more liberal wing, advocating greater genderegalitarianism. At the end of the twentieth century, fundamentalism was more politically and socially powerful within Christianity, Hinduism,and Islam, with advocates of patriarchal gender relations sometimes uniting across faiths. Catholic and Muslim delegates at the Fourth UnitedNations Congress on Women in Beijing in 1995, for example, joined together in opposition to provisions on reproductive rights, sexuality, andwomen’s health. The gender implications of this fundamentalism also evoked strong criticism, however, and more liberal adherents of manyfaiths searched their texts and traditions for less restrictive messages, finding in them ethical grounds for women’s liberation. The ultimateoutcome of these developments is, of course, uncertain, but it is clear that religion will continue to be one of the strongest shapers of genderstructures in the future, as it has been in the past.</w:t>
      </w:r>
    </w:p>
    <w:p w14:paraId="24E2219B" w14:textId="77777777" w:rsidR="00B67784" w:rsidRPr="00B67784" w:rsidRDefault="00B67784" w:rsidP="00B67784">
      <w:pPr>
        <w:numPr>
          <w:ilvl w:val="0"/>
          <w:numId w:val="18"/>
        </w:numPr>
        <w:spacing w:after="0" w:line="270" w:lineRule="atLeast"/>
        <w:ind w:left="0"/>
        <w:rPr>
          <w:rFonts w:ascii="inherit" w:eastAsia="Times New Roman" w:hAnsi="inherit" w:cs="Times New Roman"/>
          <w:color w:val="808080"/>
          <w:sz w:val="20"/>
          <w:szCs w:val="20"/>
        </w:rPr>
      </w:pPr>
      <w:hyperlink r:id="rId64" w:history="1">
        <w:r w:rsidRPr="00B67784">
          <w:rPr>
            <w:rFonts w:ascii="inherit" w:eastAsia="Times New Roman" w:hAnsi="inherit" w:cs="Times New Roman"/>
            <w:color w:val="0069D6"/>
            <w:sz w:val="20"/>
            <w:szCs w:val="20"/>
            <w:u w:val="single"/>
            <w:bdr w:val="none" w:sz="0" w:space="0" w:color="auto" w:frame="1"/>
          </w:rPr>
          <w:t>Notebook</w:t>
        </w:r>
      </w:hyperlink>
    </w:p>
    <w:p w14:paraId="146CEBC5" w14:textId="77777777" w:rsidR="00B67784" w:rsidRPr="00B67784" w:rsidRDefault="00B67784" w:rsidP="00B67784">
      <w:pPr>
        <w:numPr>
          <w:ilvl w:val="0"/>
          <w:numId w:val="19"/>
        </w:numPr>
        <w:spacing w:after="0" w:line="270" w:lineRule="atLeast"/>
        <w:ind w:left="0"/>
        <w:rPr>
          <w:rFonts w:ascii="inherit" w:eastAsia="Times New Roman" w:hAnsi="inherit" w:cs="Times New Roman"/>
          <w:color w:val="808080"/>
          <w:sz w:val="20"/>
          <w:szCs w:val="20"/>
        </w:rPr>
      </w:pPr>
      <w:hyperlink r:id="rId65" w:history="1">
        <w:r w:rsidRPr="00B67784">
          <w:rPr>
            <w:rFonts w:ascii="inherit" w:eastAsia="Times New Roman" w:hAnsi="inherit" w:cs="Times New Roman"/>
            <w:color w:val="0069D6"/>
            <w:sz w:val="20"/>
            <w:szCs w:val="20"/>
            <w:u w:val="single"/>
            <w:bdr w:val="none" w:sz="0" w:space="0" w:color="auto" w:frame="1"/>
          </w:rPr>
          <w:t>My Bookshelf</w:t>
        </w:r>
      </w:hyperlink>
    </w:p>
    <w:p w14:paraId="319D98CB" w14:textId="77777777" w:rsidR="00B67784" w:rsidRPr="00B67784" w:rsidRDefault="00B67784" w:rsidP="00B67784">
      <w:pPr>
        <w:numPr>
          <w:ilvl w:val="0"/>
          <w:numId w:val="19"/>
        </w:numPr>
        <w:spacing w:after="0" w:line="270" w:lineRule="atLeast"/>
        <w:ind w:left="0"/>
        <w:rPr>
          <w:rFonts w:ascii="inherit" w:eastAsia="Times New Roman" w:hAnsi="inherit" w:cs="Times New Roman"/>
          <w:color w:val="808080"/>
          <w:sz w:val="20"/>
          <w:szCs w:val="20"/>
        </w:rPr>
      </w:pPr>
      <w:hyperlink r:id="rId66" w:anchor="toc" w:history="1">
        <w:r w:rsidRPr="00B67784">
          <w:rPr>
            <w:rFonts w:ascii="inherit" w:eastAsia="Times New Roman" w:hAnsi="inherit" w:cs="Times New Roman"/>
            <w:color w:val="0069D6"/>
            <w:sz w:val="20"/>
            <w:szCs w:val="20"/>
            <w:u w:val="single"/>
            <w:bdr w:val="none" w:sz="0" w:space="0" w:color="auto" w:frame="1"/>
          </w:rPr>
          <w:t>TOC/Annotation menu</w:t>
        </w:r>
      </w:hyperlink>
    </w:p>
    <w:p w14:paraId="05FB6E61" w14:textId="77777777" w:rsidR="00B67784" w:rsidRPr="00B67784" w:rsidRDefault="00B67784" w:rsidP="00B67784">
      <w:pPr>
        <w:numPr>
          <w:ilvl w:val="0"/>
          <w:numId w:val="20"/>
        </w:numPr>
        <w:spacing w:after="0" w:line="270" w:lineRule="atLeast"/>
        <w:ind w:left="0"/>
        <w:rPr>
          <w:rFonts w:ascii="inherit" w:eastAsia="Times New Roman" w:hAnsi="inherit" w:cs="Times New Roman"/>
          <w:color w:val="808080"/>
          <w:sz w:val="20"/>
          <w:szCs w:val="20"/>
        </w:rPr>
      </w:pPr>
      <w:hyperlink r:id="rId67" w:anchor="options" w:history="1">
        <w:r w:rsidRPr="00B67784">
          <w:rPr>
            <w:rFonts w:ascii="inherit" w:eastAsia="Times New Roman" w:hAnsi="inherit" w:cs="Times New Roman"/>
            <w:color w:val="0069D6"/>
            <w:sz w:val="20"/>
            <w:szCs w:val="20"/>
            <w:u w:val="single"/>
            <w:bdr w:val="none" w:sz="0" w:space="0" w:color="auto" w:frame="1"/>
          </w:rPr>
          <w:t>Downloads</w:t>
        </w:r>
      </w:hyperlink>
    </w:p>
    <w:p w14:paraId="19C62F6B" w14:textId="77777777" w:rsidR="00B67784" w:rsidRPr="00B67784" w:rsidRDefault="00B67784" w:rsidP="00B67784">
      <w:pPr>
        <w:numPr>
          <w:ilvl w:val="0"/>
          <w:numId w:val="20"/>
        </w:numPr>
        <w:spacing w:after="0" w:line="270" w:lineRule="atLeast"/>
        <w:ind w:left="0"/>
        <w:rPr>
          <w:rFonts w:ascii="inherit" w:eastAsia="Times New Roman" w:hAnsi="inherit" w:cs="Times New Roman"/>
          <w:color w:val="808080"/>
          <w:sz w:val="20"/>
          <w:szCs w:val="20"/>
        </w:rPr>
      </w:pPr>
      <w:hyperlink r:id="rId68" w:history="1">
        <w:r w:rsidRPr="00B67784">
          <w:rPr>
            <w:rFonts w:ascii="inherit" w:eastAsia="Times New Roman" w:hAnsi="inherit" w:cs="Times New Roman"/>
            <w:color w:val="0069D6"/>
            <w:sz w:val="20"/>
            <w:szCs w:val="20"/>
            <w:u w:val="single"/>
            <w:bdr w:val="none" w:sz="0" w:space="0" w:color="auto" w:frame="1"/>
          </w:rPr>
          <w:t>Print</w:t>
        </w:r>
      </w:hyperlink>
    </w:p>
    <w:p w14:paraId="6315EDD7" w14:textId="77777777" w:rsidR="00B67784" w:rsidRPr="00B67784" w:rsidRDefault="00B67784" w:rsidP="00B67784">
      <w:pPr>
        <w:numPr>
          <w:ilvl w:val="0"/>
          <w:numId w:val="20"/>
        </w:numPr>
        <w:spacing w:after="0" w:line="270" w:lineRule="atLeast"/>
        <w:ind w:left="0"/>
        <w:rPr>
          <w:rFonts w:ascii="inherit" w:eastAsia="Times New Roman" w:hAnsi="inherit" w:cs="Times New Roman"/>
          <w:color w:val="808080"/>
          <w:sz w:val="20"/>
          <w:szCs w:val="20"/>
        </w:rPr>
      </w:pPr>
      <w:hyperlink r:id="rId69" w:anchor="search" w:history="1">
        <w:r w:rsidRPr="00B67784">
          <w:rPr>
            <w:rFonts w:ascii="inherit" w:eastAsia="Times New Roman" w:hAnsi="inherit" w:cs="Times New Roman"/>
            <w:color w:val="0069D6"/>
            <w:sz w:val="20"/>
            <w:szCs w:val="20"/>
            <w:u w:val="single"/>
            <w:bdr w:val="none" w:sz="0" w:space="0" w:color="auto" w:frame="1"/>
          </w:rPr>
          <w:t>Search</w:t>
        </w:r>
      </w:hyperlink>
    </w:p>
    <w:p w14:paraId="5B52465E" w14:textId="77777777" w:rsidR="00B67784" w:rsidRPr="00B67784" w:rsidRDefault="00B67784" w:rsidP="00B67784">
      <w:pPr>
        <w:numPr>
          <w:ilvl w:val="0"/>
          <w:numId w:val="20"/>
        </w:numPr>
        <w:spacing w:after="0" w:line="270" w:lineRule="atLeast"/>
        <w:ind w:left="75"/>
        <w:rPr>
          <w:rFonts w:ascii="inherit" w:eastAsia="Times New Roman" w:hAnsi="inherit" w:cs="Times New Roman"/>
          <w:color w:val="808080"/>
          <w:sz w:val="20"/>
          <w:szCs w:val="20"/>
        </w:rPr>
      </w:pPr>
      <w:hyperlink r:id="rId70" w:anchor="profile" w:history="1">
        <w:r w:rsidRPr="00B67784">
          <w:rPr>
            <w:rFonts w:ascii="inherit" w:eastAsia="Times New Roman" w:hAnsi="inherit" w:cs="Times New Roman"/>
            <w:color w:val="0069D6"/>
            <w:sz w:val="20"/>
            <w:szCs w:val="20"/>
            <w:u w:val="single"/>
            <w:bdr w:val="none" w:sz="0" w:space="0" w:color="auto" w:frame="1"/>
          </w:rPr>
          <w:t>Profile</w:t>
        </w:r>
      </w:hyperlink>
    </w:p>
    <w:p w14:paraId="7E626840" w14:textId="77777777" w:rsidR="00B67784" w:rsidRPr="00B67784" w:rsidRDefault="00B67784" w:rsidP="00B67784">
      <w:pPr>
        <w:numPr>
          <w:ilvl w:val="0"/>
          <w:numId w:val="20"/>
        </w:numPr>
        <w:spacing w:after="0" w:line="270" w:lineRule="atLeast"/>
        <w:ind w:left="30"/>
        <w:rPr>
          <w:rFonts w:ascii="inherit" w:eastAsia="Times New Roman" w:hAnsi="inherit" w:cs="Times New Roman"/>
          <w:color w:val="808080"/>
          <w:sz w:val="20"/>
          <w:szCs w:val="20"/>
        </w:rPr>
      </w:pPr>
      <w:hyperlink r:id="rId71" w:anchor="help" w:history="1">
        <w:r w:rsidRPr="00B67784">
          <w:rPr>
            <w:rFonts w:ascii="inherit" w:eastAsia="Times New Roman" w:hAnsi="inherit" w:cs="Times New Roman"/>
            <w:color w:val="0069D6"/>
            <w:sz w:val="20"/>
            <w:szCs w:val="20"/>
            <w:u w:val="single"/>
            <w:bdr w:val="none" w:sz="0" w:space="0" w:color="auto" w:frame="1"/>
          </w:rPr>
          <w:t>Help</w:t>
        </w:r>
      </w:hyperlink>
    </w:p>
    <w:p w14:paraId="204652DE" w14:textId="77777777" w:rsidR="00B67784" w:rsidRPr="00B67784" w:rsidRDefault="00B67784" w:rsidP="00B67784">
      <w:pPr>
        <w:spacing w:after="270" w:line="750" w:lineRule="atLeast"/>
        <w:jc w:val="center"/>
        <w:outlineLvl w:val="0"/>
        <w:rPr>
          <w:rFonts w:ascii="inherit" w:eastAsia="Times New Roman" w:hAnsi="inherit" w:cs="Times New Roman"/>
          <w:b/>
          <w:bCs/>
          <w:color w:val="EFEFEF"/>
          <w:kern w:val="36"/>
          <w:sz w:val="26"/>
          <w:szCs w:val="26"/>
        </w:rPr>
      </w:pPr>
      <w:r w:rsidRPr="00B67784">
        <w:rPr>
          <w:rFonts w:ascii="inherit" w:eastAsia="Times New Roman" w:hAnsi="inherit" w:cs="Times New Roman"/>
          <w:b/>
          <w:bCs/>
          <w:color w:val="EFEFEF"/>
          <w:kern w:val="36"/>
          <w:sz w:val="26"/>
          <w:szCs w:val="26"/>
        </w:rPr>
        <w:t>5.7 Further Reading</w:t>
      </w:r>
    </w:p>
    <w:p w14:paraId="44E5CC9D" w14:textId="77777777" w:rsidR="00B67784" w:rsidRPr="00B67784" w:rsidRDefault="00B67784" w:rsidP="00B67784">
      <w:pPr>
        <w:shd w:val="clear" w:color="auto" w:fill="EDECE5"/>
        <w:spacing w:after="0" w:line="240" w:lineRule="auto"/>
        <w:rPr>
          <w:rFonts w:ascii="Times New Roman" w:eastAsia="Times New Roman" w:hAnsi="Times New Roman" w:cs="Times New Roman"/>
          <w:sz w:val="24"/>
          <w:szCs w:val="24"/>
        </w:rPr>
      </w:pPr>
      <w:hyperlink r:id="rId72" w:tooltip="[PrevSection]" w:history="1">
        <w:r w:rsidRPr="00B67784">
          <w:rPr>
            <w:rFonts w:ascii="inherit" w:eastAsia="Times New Roman" w:hAnsi="inherit" w:cs="Times New Roman"/>
            <w:color w:val="0069D6"/>
            <w:sz w:val="20"/>
            <w:szCs w:val="20"/>
            <w:u w:val="single"/>
            <w:bdr w:val="none" w:sz="0" w:space="0" w:color="auto" w:frame="1"/>
          </w:rPr>
          <w:t>Previous section</w:t>
        </w:r>
      </w:hyperlink>
    </w:p>
    <w:p w14:paraId="3EE78531" w14:textId="77777777" w:rsidR="00B67784" w:rsidRPr="00B67784" w:rsidRDefault="00B67784" w:rsidP="00B67784">
      <w:pPr>
        <w:shd w:val="clear" w:color="auto" w:fill="EDECE5"/>
        <w:spacing w:after="0" w:line="240" w:lineRule="auto"/>
        <w:rPr>
          <w:rFonts w:ascii="Times New Roman" w:eastAsia="Times New Roman" w:hAnsi="Times New Roman" w:cs="Times New Roman"/>
          <w:sz w:val="24"/>
          <w:szCs w:val="24"/>
        </w:rPr>
      </w:pPr>
      <w:hyperlink r:id="rId73" w:tooltip="Next Section" w:history="1">
        <w:r w:rsidRPr="00B67784">
          <w:rPr>
            <w:rFonts w:ascii="inherit" w:eastAsia="Times New Roman" w:hAnsi="inherit" w:cs="Times New Roman"/>
            <w:color w:val="0069D6"/>
            <w:sz w:val="20"/>
            <w:szCs w:val="20"/>
            <w:u w:val="single"/>
            <w:bdr w:val="none" w:sz="0" w:space="0" w:color="auto" w:frame="1"/>
          </w:rPr>
          <w:t>Next section</w:t>
        </w:r>
      </w:hyperlink>
    </w:p>
    <w:p w14:paraId="52ED80B1" w14:textId="77777777" w:rsidR="00B67784" w:rsidRPr="00B67784" w:rsidRDefault="00B67784" w:rsidP="00B67784">
      <w:pPr>
        <w:spacing w:before="30" w:after="288" w:line="240" w:lineRule="auto"/>
        <w:jc w:val="center"/>
        <w:rPr>
          <w:rFonts w:ascii="Cambria" w:eastAsia="Times New Roman" w:hAnsi="Cambria" w:cs="Times New Roman"/>
          <w:b/>
          <w:bCs/>
          <w:color w:val="000000"/>
          <w:sz w:val="36"/>
          <w:szCs w:val="36"/>
        </w:rPr>
      </w:pPr>
      <w:r w:rsidRPr="00B67784">
        <w:rPr>
          <w:rFonts w:ascii="Cambria" w:eastAsia="Times New Roman" w:hAnsi="Cambria" w:cs="Times New Roman"/>
          <w:b/>
          <w:bCs/>
          <w:color w:val="000000"/>
          <w:sz w:val="36"/>
          <w:szCs w:val="36"/>
        </w:rPr>
        <w:t>5.7 Further Reading</w:t>
      </w:r>
    </w:p>
    <w:p w14:paraId="7C6EE29C" w14:textId="77777777" w:rsidR="00B67784" w:rsidRPr="00B67784" w:rsidRDefault="00B67784" w:rsidP="00B67784">
      <w:pPr>
        <w:shd w:val="clear" w:color="auto" w:fill="FFFFFF"/>
        <w:spacing w:after="0" w:line="240" w:lineRule="auto"/>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Collections of articles are a good place to begin, for they allow you both to look closely at one religious tradition and to make comparisons.Arvind Sharma has edited four excellent collections, </w:t>
      </w:r>
      <w:r w:rsidRPr="00B67784">
        <w:rPr>
          <w:rFonts w:ascii="inherit" w:eastAsia="Times New Roman" w:hAnsi="inherit" w:cs="Times New Roman"/>
          <w:i/>
          <w:iCs/>
          <w:color w:val="000000"/>
          <w:sz w:val="24"/>
          <w:szCs w:val="24"/>
          <w:bdr w:val="none" w:sz="0" w:space="0" w:color="auto" w:frame="1"/>
        </w:rPr>
        <w:t>Women in World Religions</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Religion and Women</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Today’s Woman in World Religions,</w:t>
      </w:r>
      <w:r w:rsidRPr="00B67784">
        <w:rPr>
          <w:rFonts w:ascii="Cambria" w:eastAsia="Times New Roman" w:hAnsi="Cambria" w:cs="Times New Roman"/>
          <w:color w:val="000000"/>
          <w:sz w:val="24"/>
          <w:szCs w:val="24"/>
        </w:rPr>
        <w:t> and </w:t>
      </w:r>
      <w:r w:rsidRPr="00B67784">
        <w:rPr>
          <w:rFonts w:ascii="inherit" w:eastAsia="Times New Roman" w:hAnsi="inherit" w:cs="Times New Roman"/>
          <w:i/>
          <w:iCs/>
          <w:color w:val="000000"/>
          <w:sz w:val="24"/>
          <w:szCs w:val="24"/>
          <w:bdr w:val="none" w:sz="0" w:space="0" w:color="auto" w:frame="1"/>
        </w:rPr>
        <w:t>Feminism and World Religions</w:t>
      </w:r>
      <w:r w:rsidRPr="00B67784">
        <w:rPr>
          <w:rFonts w:ascii="Cambria" w:eastAsia="Times New Roman" w:hAnsi="Cambria" w:cs="Times New Roman"/>
          <w:color w:val="000000"/>
          <w:sz w:val="24"/>
          <w:szCs w:val="24"/>
        </w:rPr>
        <w:t> (Albany: State University of New York Press, 1987, 1993, 1994, 1999), which cover women’s roles in many ofthe world’s religions in both past and present; many of the essays are written by scholars from within the tradition they discuss. This is alsotrue of Arlene Swidler, ed., </w:t>
      </w:r>
      <w:r w:rsidRPr="00B67784">
        <w:rPr>
          <w:rFonts w:ascii="inherit" w:eastAsia="Times New Roman" w:hAnsi="inherit" w:cs="Times New Roman"/>
          <w:i/>
          <w:iCs/>
          <w:color w:val="000000"/>
          <w:sz w:val="24"/>
          <w:szCs w:val="24"/>
          <w:bdr w:val="none" w:sz="0" w:space="0" w:color="auto" w:frame="1"/>
        </w:rPr>
        <w:t>Homosexuality and World Religions</w:t>
      </w:r>
      <w:r w:rsidRPr="00B67784">
        <w:rPr>
          <w:rFonts w:ascii="Cambria" w:eastAsia="Times New Roman" w:hAnsi="Cambria" w:cs="Times New Roman"/>
          <w:color w:val="000000"/>
          <w:sz w:val="24"/>
          <w:szCs w:val="24"/>
        </w:rPr>
        <w:t> (Valley Forge, PA: Trinity Press International, 1993). Other useful collectionsinclude Yvonne Yazbeck Haddad and Ellison Banks Findly, eds., </w:t>
      </w:r>
      <w:r w:rsidRPr="00B67784">
        <w:rPr>
          <w:rFonts w:ascii="inherit" w:eastAsia="Times New Roman" w:hAnsi="inherit" w:cs="Times New Roman"/>
          <w:i/>
          <w:iCs/>
          <w:color w:val="000000"/>
          <w:sz w:val="24"/>
          <w:szCs w:val="24"/>
          <w:bdr w:val="none" w:sz="0" w:space="0" w:color="auto" w:frame="1"/>
        </w:rPr>
        <w:t>Women, Religion and</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Social Change</w:t>
      </w:r>
      <w:r w:rsidRPr="00B67784">
        <w:rPr>
          <w:rFonts w:ascii="Cambria" w:eastAsia="Times New Roman" w:hAnsi="Cambria" w:cs="Times New Roman"/>
          <w:color w:val="000000"/>
          <w:sz w:val="24"/>
          <w:szCs w:val="24"/>
        </w:rPr>
        <w:t> (Albany: State University of New YorkPress, 1985); Clarissa W. Atkinson et al., eds., </w:t>
      </w:r>
      <w:r w:rsidRPr="00B67784">
        <w:rPr>
          <w:rFonts w:ascii="inherit" w:eastAsia="Times New Roman" w:hAnsi="inherit" w:cs="Times New Roman"/>
          <w:i/>
          <w:iCs/>
          <w:color w:val="000000"/>
          <w:sz w:val="24"/>
          <w:szCs w:val="24"/>
          <w:bdr w:val="none" w:sz="0" w:space="0" w:color="auto" w:frame="1"/>
        </w:rPr>
        <w:t>Immaculate and Powerful: The Female</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in Sacred Image and Social Reality</w:t>
      </w:r>
      <w:r w:rsidRPr="00B67784">
        <w:rPr>
          <w:rFonts w:ascii="Cambria" w:eastAsia="Times New Roman" w:hAnsi="Cambria" w:cs="Times New Roman"/>
          <w:color w:val="000000"/>
          <w:sz w:val="24"/>
          <w:szCs w:val="24"/>
        </w:rPr>
        <w:t> (Boston: Beacon Press,1985); Caroline Walker Bynum et al., eds., </w:t>
      </w:r>
      <w:r w:rsidRPr="00B67784">
        <w:rPr>
          <w:rFonts w:ascii="inherit" w:eastAsia="Times New Roman" w:hAnsi="inherit" w:cs="Times New Roman"/>
          <w:i/>
          <w:iCs/>
          <w:color w:val="000000"/>
          <w:sz w:val="24"/>
          <w:szCs w:val="24"/>
          <w:bdr w:val="none" w:sz="0" w:space="0" w:color="auto" w:frame="1"/>
        </w:rPr>
        <w:t>Gender and Religion: On the Complexity of</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Symbols</w:t>
      </w:r>
      <w:r w:rsidRPr="00B67784">
        <w:rPr>
          <w:rFonts w:ascii="Cambria" w:eastAsia="Times New Roman" w:hAnsi="Cambria" w:cs="Times New Roman"/>
          <w:color w:val="000000"/>
          <w:sz w:val="24"/>
          <w:szCs w:val="24"/>
        </w:rPr>
        <w:t> (Boston: Beacon Press, 1986); Ursula King, ed., </w:t>
      </w:r>
      <w:r w:rsidRPr="00B67784">
        <w:rPr>
          <w:rFonts w:ascii="inherit" w:eastAsia="Times New Roman" w:hAnsi="inherit" w:cs="Times New Roman"/>
          <w:i/>
          <w:iCs/>
          <w:color w:val="000000"/>
          <w:sz w:val="24"/>
          <w:szCs w:val="24"/>
          <w:bdr w:val="none" w:sz="0" w:space="0" w:color="auto" w:frame="1"/>
        </w:rPr>
        <w:t>Feminist</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Theology from the Third World: A Reader</w:t>
      </w:r>
      <w:r w:rsidRPr="00B67784">
        <w:rPr>
          <w:rFonts w:ascii="Cambria" w:eastAsia="Times New Roman" w:hAnsi="Cambria" w:cs="Times New Roman"/>
          <w:color w:val="000000"/>
          <w:sz w:val="24"/>
          <w:szCs w:val="24"/>
        </w:rPr>
        <w:t> (Maryknoll, NY: Orbis, 1994); Stephen B. Boyd et al., eds., </w:t>
      </w:r>
      <w:r w:rsidRPr="00B67784">
        <w:rPr>
          <w:rFonts w:ascii="inherit" w:eastAsia="Times New Roman" w:hAnsi="inherit" w:cs="Times New Roman"/>
          <w:i/>
          <w:iCs/>
          <w:color w:val="000000"/>
          <w:sz w:val="24"/>
          <w:szCs w:val="24"/>
          <w:bdr w:val="none" w:sz="0" w:space="0" w:color="auto" w:frame="1"/>
        </w:rPr>
        <w:t>Redeeming Men: Religion andMasculinities</w:t>
      </w:r>
      <w:r w:rsidRPr="00B67784">
        <w:rPr>
          <w:rFonts w:ascii="Cambria" w:eastAsia="Times New Roman" w:hAnsi="Cambria" w:cs="Times New Roman"/>
          <w:color w:val="000000"/>
          <w:sz w:val="24"/>
          <w:szCs w:val="24"/>
        </w:rPr>
        <w:t> (Louisville, KY: Westminster/John Knox, 1996); Gary David Comstock and Susan E. Henking, eds., </w:t>
      </w:r>
      <w:r w:rsidRPr="00B67784">
        <w:rPr>
          <w:rFonts w:ascii="inherit" w:eastAsia="Times New Roman" w:hAnsi="inherit" w:cs="Times New Roman"/>
          <w:i/>
          <w:iCs/>
          <w:color w:val="000000"/>
          <w:sz w:val="24"/>
          <w:szCs w:val="24"/>
          <w:bdr w:val="none" w:sz="0" w:space="0" w:color="auto" w:frame="1"/>
        </w:rPr>
        <w:t>Que(e)rying Religion: A CriticalAnthology</w:t>
      </w:r>
      <w:r w:rsidRPr="00B67784">
        <w:rPr>
          <w:rFonts w:ascii="Cambria" w:eastAsia="Times New Roman" w:hAnsi="Cambria" w:cs="Times New Roman"/>
          <w:color w:val="000000"/>
          <w:sz w:val="24"/>
          <w:szCs w:val="24"/>
        </w:rPr>
        <w:t> (New York: Continuum, 1997); Nancy A. Falk and Rita M. Gross, </w:t>
      </w:r>
      <w:r w:rsidRPr="00B67784">
        <w:rPr>
          <w:rFonts w:ascii="inherit" w:eastAsia="Times New Roman" w:hAnsi="inherit" w:cs="Times New Roman"/>
          <w:i/>
          <w:iCs/>
          <w:color w:val="000000"/>
          <w:sz w:val="24"/>
          <w:szCs w:val="24"/>
          <w:bdr w:val="none" w:sz="0" w:space="0" w:color="auto" w:frame="1"/>
        </w:rPr>
        <w:t>Unspoken Worlds: Women’s Religious Lives in Non-Western Cultures</w:t>
      </w:r>
      <w:r w:rsidRPr="00B67784">
        <w:rPr>
          <w:rFonts w:ascii="Cambria" w:eastAsia="Times New Roman" w:hAnsi="Cambria" w:cs="Times New Roman"/>
          <w:color w:val="000000"/>
          <w:sz w:val="24"/>
          <w:szCs w:val="24"/>
        </w:rPr>
        <w:t>(2nd edn., San Francisco: Wadsworth, 1999); Stephen Ellingson and M. Christian Green, eds., </w:t>
      </w:r>
      <w:r w:rsidRPr="00B67784">
        <w:rPr>
          <w:rFonts w:ascii="inherit" w:eastAsia="Times New Roman" w:hAnsi="inherit" w:cs="Times New Roman"/>
          <w:i/>
          <w:iCs/>
          <w:color w:val="000000"/>
          <w:sz w:val="24"/>
          <w:szCs w:val="24"/>
          <w:bdr w:val="none" w:sz="0" w:space="0" w:color="auto" w:frame="1"/>
        </w:rPr>
        <w:t>Religion and Sexuality in Cross-CulturalPerspective</w:t>
      </w:r>
      <w:r w:rsidRPr="00B67784">
        <w:rPr>
          <w:rFonts w:ascii="Cambria" w:eastAsia="Times New Roman" w:hAnsi="Cambria" w:cs="Times New Roman"/>
          <w:color w:val="000000"/>
          <w:sz w:val="24"/>
          <w:szCs w:val="24"/>
        </w:rPr>
        <w:t> (New York: Routledge, 2002); Inger Marie Okkenhaug and Ingvild Flaskerud, eds., </w:t>
      </w:r>
      <w:r w:rsidRPr="00B67784">
        <w:rPr>
          <w:rFonts w:ascii="inherit" w:eastAsia="Times New Roman" w:hAnsi="inherit" w:cs="Times New Roman"/>
          <w:i/>
          <w:iCs/>
          <w:color w:val="000000"/>
          <w:sz w:val="24"/>
          <w:szCs w:val="24"/>
          <w:bdr w:val="none" w:sz="0" w:space="0" w:color="auto" w:frame="1"/>
        </w:rPr>
        <w:t>Gender, Religion and Change in the Middle East:Two Hundred Years of History</w:t>
      </w:r>
      <w:r w:rsidRPr="00B67784">
        <w:rPr>
          <w:rFonts w:ascii="Cambria" w:eastAsia="Times New Roman" w:hAnsi="Cambria" w:cs="Times New Roman"/>
          <w:color w:val="000000"/>
          <w:sz w:val="24"/>
          <w:szCs w:val="24"/>
        </w:rPr>
        <w:t> (New York: Berg, 2005). Susan Starr Sered, </w:t>
      </w:r>
      <w:r w:rsidRPr="00B67784">
        <w:rPr>
          <w:rFonts w:ascii="inherit" w:eastAsia="Times New Roman" w:hAnsi="inherit" w:cs="Times New Roman"/>
          <w:i/>
          <w:iCs/>
          <w:color w:val="000000"/>
          <w:sz w:val="24"/>
          <w:szCs w:val="24"/>
          <w:bdr w:val="none" w:sz="0" w:space="0" w:color="auto" w:frame="1"/>
        </w:rPr>
        <w:t>Priestess, Mother, Sacred Sister: Religions Dominated by Women</w:t>
      </w:r>
      <w:r w:rsidRPr="00B67784">
        <w:rPr>
          <w:rFonts w:ascii="Cambria" w:eastAsia="Times New Roman" w:hAnsi="Cambria" w:cs="Times New Roman"/>
          <w:color w:val="000000"/>
          <w:sz w:val="24"/>
          <w:szCs w:val="24"/>
        </w:rPr>
        <w:t> (NewYork: Oxford University Press, 1994) is a fascinating study of 12 religions currently being practiced that are dominated by women, some ofwhich are over a thousand years old. Serenity Young, ed., </w:t>
      </w:r>
      <w:r w:rsidRPr="00B67784">
        <w:rPr>
          <w:rFonts w:ascii="inherit" w:eastAsia="Times New Roman" w:hAnsi="inherit" w:cs="Times New Roman"/>
          <w:i/>
          <w:iCs/>
          <w:color w:val="000000"/>
          <w:sz w:val="24"/>
          <w:szCs w:val="24"/>
          <w:bdr w:val="none" w:sz="0" w:space="0" w:color="auto" w:frame="1"/>
        </w:rPr>
        <w:t>An Anthology</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of Sacred Texts by and about Women</w:t>
      </w:r>
      <w:r w:rsidRPr="00B67784">
        <w:rPr>
          <w:rFonts w:ascii="Cambria" w:eastAsia="Times New Roman" w:hAnsi="Cambria" w:cs="Times New Roman"/>
          <w:color w:val="000000"/>
          <w:sz w:val="24"/>
          <w:szCs w:val="24"/>
        </w:rPr>
        <w:t> (New York: Crossroad, 1993) is awonderful collection of sources, covering everything from ancient pagan- ism to contemporary voudon, with long selections from the majortext- based religions; another fine source book is Shawn Madigan, </w:t>
      </w:r>
      <w:r w:rsidRPr="00B67784">
        <w:rPr>
          <w:rFonts w:ascii="inherit" w:eastAsia="Times New Roman" w:hAnsi="inherit" w:cs="Times New Roman"/>
          <w:i/>
          <w:iCs/>
          <w:color w:val="000000"/>
          <w:sz w:val="24"/>
          <w:szCs w:val="24"/>
          <w:bdr w:val="none" w:sz="0" w:space="0" w:color="auto" w:frame="1"/>
        </w:rPr>
        <w:t>Mystics,</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Visionaries and Prophets: A Historical Anthology of Women’sSpiritual</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Writings</w:t>
      </w:r>
      <w:r w:rsidRPr="00B67784">
        <w:rPr>
          <w:rFonts w:ascii="Cambria" w:eastAsia="Times New Roman" w:hAnsi="Cambria" w:cs="Times New Roman"/>
          <w:color w:val="000000"/>
          <w:sz w:val="24"/>
          <w:szCs w:val="24"/>
        </w:rPr>
        <w:t> (Philadelphia: Fortress, 1998).</w:t>
      </w:r>
    </w:p>
    <w:p w14:paraId="44F8727B" w14:textId="77777777" w:rsidR="00B67784" w:rsidRPr="00B67784" w:rsidRDefault="00B67784" w:rsidP="00B67784">
      <w:pPr>
        <w:shd w:val="clear" w:color="auto" w:fill="FFFFFF"/>
        <w:spacing w:after="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lastRenderedPageBreak/>
        <w:t>David Leeming and Jake Page, </w:t>
      </w:r>
      <w:r w:rsidRPr="00B67784">
        <w:rPr>
          <w:rFonts w:ascii="inherit" w:eastAsia="Times New Roman" w:hAnsi="inherit" w:cs="Times New Roman"/>
          <w:i/>
          <w:iCs/>
          <w:color w:val="000000"/>
          <w:sz w:val="24"/>
          <w:szCs w:val="24"/>
          <w:bdr w:val="none" w:sz="0" w:space="0" w:color="auto" w:frame="1"/>
        </w:rPr>
        <w:t>God: Myths of the Male Divine</w:t>
      </w:r>
      <w:r w:rsidRPr="00B67784">
        <w:rPr>
          <w:rFonts w:ascii="Cambria" w:eastAsia="Times New Roman" w:hAnsi="Cambria" w:cs="Times New Roman"/>
          <w:color w:val="000000"/>
          <w:sz w:val="24"/>
          <w:szCs w:val="24"/>
        </w:rPr>
        <w:t> and </w:t>
      </w:r>
      <w:r w:rsidRPr="00B67784">
        <w:rPr>
          <w:rFonts w:ascii="inherit" w:eastAsia="Times New Roman" w:hAnsi="inherit" w:cs="Times New Roman"/>
          <w:i/>
          <w:iCs/>
          <w:color w:val="000000"/>
          <w:sz w:val="24"/>
          <w:szCs w:val="24"/>
          <w:bdr w:val="none" w:sz="0" w:space="0" w:color="auto" w:frame="1"/>
        </w:rPr>
        <w:t>Goddess: Myths of the Female Divine</w:t>
      </w:r>
      <w:r w:rsidRPr="00B67784">
        <w:rPr>
          <w:rFonts w:ascii="Cambria" w:eastAsia="Times New Roman" w:hAnsi="Cambria" w:cs="Times New Roman"/>
          <w:color w:val="000000"/>
          <w:sz w:val="24"/>
          <w:szCs w:val="24"/>
        </w:rPr>
        <w:t> (Oxford: Oxford University Press,1996) are two brief overviews of stories about divine figures from prehistory to the present, while Rosemary Radford Ruether, </w:t>
      </w:r>
      <w:r w:rsidRPr="00B67784">
        <w:rPr>
          <w:rFonts w:ascii="inherit" w:eastAsia="Times New Roman" w:hAnsi="inherit" w:cs="Times New Roman"/>
          <w:i/>
          <w:iCs/>
          <w:color w:val="000000"/>
          <w:sz w:val="24"/>
          <w:szCs w:val="24"/>
          <w:bdr w:val="none" w:sz="0" w:space="0" w:color="auto" w:frame="1"/>
        </w:rPr>
        <w:t>Goddesses andthe Divine</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Feminine: A Western Religious History</w:t>
      </w:r>
      <w:r w:rsidRPr="00B67784">
        <w:rPr>
          <w:rFonts w:ascii="Cambria" w:eastAsia="Times New Roman" w:hAnsi="Cambria" w:cs="Times New Roman"/>
          <w:color w:val="000000"/>
          <w:sz w:val="24"/>
          <w:szCs w:val="24"/>
        </w:rPr>
        <w:t> (Berkeley: University of California Press, 2005) provides a deeper analysis.</w:t>
      </w:r>
    </w:p>
    <w:p w14:paraId="0A4CC39C" w14:textId="77777777" w:rsidR="00B67784" w:rsidRPr="00B67784" w:rsidRDefault="00B67784" w:rsidP="00B67784">
      <w:pPr>
        <w:shd w:val="clear" w:color="auto" w:fill="FFFFFF"/>
        <w:spacing w:after="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The </w:t>
      </w:r>
      <w:r w:rsidRPr="00B67784">
        <w:rPr>
          <w:rFonts w:ascii="inherit" w:eastAsia="Times New Roman" w:hAnsi="inherit" w:cs="Times New Roman"/>
          <w:i/>
          <w:iCs/>
          <w:color w:val="000000"/>
          <w:sz w:val="24"/>
          <w:szCs w:val="24"/>
          <w:bdr w:val="none" w:sz="0" w:space="0" w:color="auto" w:frame="1"/>
        </w:rPr>
        <w:t>Journal of Feminist Studies in Religion</w:t>
      </w:r>
      <w:r w:rsidRPr="00B67784">
        <w:rPr>
          <w:rFonts w:ascii="Cambria" w:eastAsia="Times New Roman" w:hAnsi="Cambria" w:cs="Times New Roman"/>
          <w:color w:val="000000"/>
          <w:sz w:val="24"/>
          <w:szCs w:val="24"/>
        </w:rPr>
        <w:t>, which began publication in 1984, always contains the most current research, as does the seriesGender in World Religions published by the McGill University faculty of religious studies; there are also many websites that discuss genderand religion, though their focus is usually contemporary rather than historical.</w:t>
      </w:r>
    </w:p>
    <w:p w14:paraId="3DF8F2DE" w14:textId="77777777" w:rsidR="00B67784" w:rsidRPr="00B67784" w:rsidRDefault="00B67784" w:rsidP="00B67784">
      <w:pPr>
        <w:spacing w:before="360" w:after="180" w:line="270" w:lineRule="atLeast"/>
        <w:jc w:val="center"/>
        <w:rPr>
          <w:rFonts w:ascii="Cambria" w:eastAsia="Times New Roman" w:hAnsi="Cambria" w:cs="Times New Roman"/>
          <w:b/>
          <w:bCs/>
          <w:color w:val="000000"/>
          <w:sz w:val="32"/>
          <w:szCs w:val="32"/>
        </w:rPr>
      </w:pPr>
      <w:r w:rsidRPr="00B67784">
        <w:rPr>
          <w:rFonts w:ascii="Cambria" w:eastAsia="Times New Roman" w:hAnsi="Cambria" w:cs="Times New Roman"/>
          <w:b/>
          <w:bCs/>
          <w:color w:val="000000"/>
          <w:sz w:val="32"/>
          <w:szCs w:val="32"/>
        </w:rPr>
        <w:t>Animism, shamanism and spiritual healing</w:t>
      </w:r>
    </w:p>
    <w:p w14:paraId="1289F529" w14:textId="77777777" w:rsidR="00B67784" w:rsidRPr="00B67784" w:rsidRDefault="00B67784" w:rsidP="00B67784">
      <w:pPr>
        <w:shd w:val="clear" w:color="auto" w:fill="FFFFFF"/>
        <w:spacing w:after="0" w:line="240" w:lineRule="auto"/>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Discussions of Paleolithic animism may be found in the works on the goddess noted in chapter 1. Studies of gender in more recentshamanistic religions include Diane Bell, </w:t>
      </w:r>
      <w:r w:rsidRPr="00B67784">
        <w:rPr>
          <w:rFonts w:ascii="inherit" w:eastAsia="Times New Roman" w:hAnsi="inherit" w:cs="Times New Roman"/>
          <w:i/>
          <w:iCs/>
          <w:color w:val="000000"/>
          <w:sz w:val="24"/>
          <w:szCs w:val="24"/>
          <w:bdr w:val="none" w:sz="0" w:space="0" w:color="auto" w:frame="1"/>
        </w:rPr>
        <w:t>Daughters of the Dreaming</w:t>
      </w:r>
      <w:r w:rsidRPr="00B67784">
        <w:rPr>
          <w:rFonts w:ascii="Cambria" w:eastAsia="Times New Roman" w:hAnsi="Cambria" w:cs="Times New Roman"/>
          <w:color w:val="000000"/>
          <w:sz w:val="24"/>
          <w:szCs w:val="24"/>
        </w:rPr>
        <w:t> (Sydney: George Allen and Unwin, 1983); Laurel Kendall, </w:t>
      </w:r>
      <w:r w:rsidRPr="00B67784">
        <w:rPr>
          <w:rFonts w:ascii="inherit" w:eastAsia="Times New Roman" w:hAnsi="inherit" w:cs="Times New Roman"/>
          <w:i/>
          <w:iCs/>
          <w:color w:val="000000"/>
          <w:sz w:val="24"/>
          <w:szCs w:val="24"/>
          <w:bdr w:val="none" w:sz="0" w:space="0" w:color="auto" w:frame="1"/>
        </w:rPr>
        <w:t>Shamans,Housewives, and</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Other Restless Spirits: Women in Korean Ritual Life</w:t>
      </w:r>
      <w:r w:rsidRPr="00B67784">
        <w:rPr>
          <w:rFonts w:ascii="Cambria" w:eastAsia="Times New Roman" w:hAnsi="Cambria" w:cs="Times New Roman"/>
          <w:color w:val="000000"/>
          <w:sz w:val="24"/>
          <w:szCs w:val="24"/>
        </w:rPr>
        <w:t> (Honolulu: University of Hawaii Press, 1985); I. M. Lewis, </w:t>
      </w:r>
      <w:r w:rsidRPr="00B67784">
        <w:rPr>
          <w:rFonts w:ascii="inherit" w:eastAsia="Times New Roman" w:hAnsi="inherit" w:cs="Times New Roman"/>
          <w:i/>
          <w:iCs/>
          <w:color w:val="000000"/>
          <w:sz w:val="24"/>
          <w:szCs w:val="24"/>
          <w:bdr w:val="none" w:sz="0" w:space="0" w:color="auto" w:frame="1"/>
        </w:rPr>
        <w:t>Ecstatic Religion:An</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Anthropological Study of Spirit Possession and Shamanism</w:t>
      </w:r>
      <w:r w:rsidRPr="00B67784">
        <w:rPr>
          <w:rFonts w:ascii="Cambria" w:eastAsia="Times New Roman" w:hAnsi="Cambria" w:cs="Times New Roman"/>
          <w:color w:val="000000"/>
          <w:sz w:val="24"/>
          <w:szCs w:val="24"/>
        </w:rPr>
        <w:t> (2nd edn., Harmondsworth: Penguin Books, 1989); Carol Shepherd McClain, ed., </w:t>
      </w:r>
      <w:r w:rsidRPr="00B67784">
        <w:rPr>
          <w:rFonts w:ascii="inherit" w:eastAsia="Times New Roman" w:hAnsi="inherit" w:cs="Times New Roman"/>
          <w:i/>
          <w:iCs/>
          <w:color w:val="000000"/>
          <w:sz w:val="24"/>
          <w:szCs w:val="24"/>
          <w:bdr w:val="none" w:sz="0" w:space="0" w:color="auto" w:frame="1"/>
        </w:rPr>
        <w:t>Women as Healers: Cross-Cultural Perspectives</w:t>
      </w:r>
      <w:r w:rsidRPr="00B67784">
        <w:rPr>
          <w:rFonts w:ascii="Cambria" w:eastAsia="Times New Roman" w:hAnsi="Cambria" w:cs="Times New Roman"/>
          <w:color w:val="000000"/>
          <w:sz w:val="24"/>
          <w:szCs w:val="24"/>
        </w:rPr>
        <w:t> (New Brunswick, NJ: Rutgers University Press, 1989); Janice Boddy, </w:t>
      </w:r>
      <w:r w:rsidRPr="00B67784">
        <w:rPr>
          <w:rFonts w:ascii="inherit" w:eastAsia="Times New Roman" w:hAnsi="inherit" w:cs="Times New Roman"/>
          <w:i/>
          <w:iCs/>
          <w:color w:val="000000"/>
          <w:sz w:val="24"/>
          <w:szCs w:val="24"/>
          <w:bdr w:val="none" w:sz="0" w:space="0" w:color="auto" w:frame="1"/>
        </w:rPr>
        <w:t>Wombs and Alien Spirits:Women, Men, and the Zar Cult in Northern Sudan</w:t>
      </w:r>
      <w:r w:rsidRPr="00B67784">
        <w:rPr>
          <w:rFonts w:ascii="Cambria" w:eastAsia="Times New Roman" w:hAnsi="Cambria" w:cs="Times New Roman"/>
          <w:color w:val="000000"/>
          <w:sz w:val="24"/>
          <w:szCs w:val="24"/>
        </w:rPr>
        <w:t> (Madison: University of Wisconsin Press, 1989); Marla N. Powers, </w:t>
      </w:r>
      <w:r w:rsidRPr="00B67784">
        <w:rPr>
          <w:rFonts w:ascii="inherit" w:eastAsia="Times New Roman" w:hAnsi="inherit" w:cs="Times New Roman"/>
          <w:i/>
          <w:iCs/>
          <w:color w:val="000000"/>
          <w:sz w:val="24"/>
          <w:szCs w:val="24"/>
          <w:bdr w:val="none" w:sz="0" w:space="0" w:color="auto" w:frame="1"/>
        </w:rPr>
        <w:t>Oglala Women: Myth,Ritual, and Reality</w:t>
      </w:r>
      <w:r w:rsidRPr="00B67784">
        <w:rPr>
          <w:rFonts w:ascii="Cambria" w:eastAsia="Times New Roman" w:hAnsi="Cambria" w:cs="Times New Roman"/>
          <w:color w:val="000000"/>
          <w:sz w:val="24"/>
          <w:szCs w:val="24"/>
        </w:rPr>
        <w:t> (Chicago: University of Chicago Press, 1996); Susan Starr Sered, </w:t>
      </w:r>
      <w:r w:rsidRPr="00B67784">
        <w:rPr>
          <w:rFonts w:ascii="inherit" w:eastAsia="Times New Roman" w:hAnsi="inherit" w:cs="Times New Roman"/>
          <w:i/>
          <w:iCs/>
          <w:color w:val="000000"/>
          <w:sz w:val="24"/>
          <w:szCs w:val="24"/>
          <w:bdr w:val="none" w:sz="0" w:space="0" w:color="auto" w:frame="1"/>
        </w:rPr>
        <w:t>Women of the Sacred Groves: Divine Priestesses of Okinawa</w:t>
      </w:r>
      <w:r w:rsidRPr="00B67784">
        <w:rPr>
          <w:rFonts w:ascii="Cambria" w:eastAsia="Times New Roman" w:hAnsi="Cambria" w:cs="Times New Roman"/>
          <w:color w:val="000000"/>
          <w:sz w:val="24"/>
          <w:szCs w:val="24"/>
        </w:rPr>
        <w:t>(New York: Oxford University Press, 1999); Teresa N. Washington, </w:t>
      </w:r>
      <w:r w:rsidRPr="00B67784">
        <w:rPr>
          <w:rFonts w:ascii="inherit" w:eastAsia="Times New Roman" w:hAnsi="inherit" w:cs="Times New Roman"/>
          <w:i/>
          <w:iCs/>
          <w:color w:val="000000"/>
          <w:sz w:val="24"/>
          <w:szCs w:val="24"/>
          <w:bdr w:val="none" w:sz="0" w:space="0" w:color="auto" w:frame="1"/>
        </w:rPr>
        <w:t>Our</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Mothers, Our Powers, Our Texts: Manifestations of Àjé in AfricanaLiterature</w:t>
      </w:r>
      <w:r w:rsidRPr="00B67784">
        <w:rPr>
          <w:rFonts w:ascii="Cambria" w:eastAsia="Times New Roman" w:hAnsi="Cambria" w:cs="Times New Roman"/>
          <w:color w:val="000000"/>
          <w:sz w:val="24"/>
          <w:szCs w:val="24"/>
        </w:rPr>
        <w:t> (Bloomington: Indiana University Press, 2005). For an analysis of Alice Lakwena’s movement, see: Heike Behrend, </w:t>
      </w:r>
      <w:r w:rsidRPr="00B67784">
        <w:rPr>
          <w:rFonts w:ascii="inherit" w:eastAsia="Times New Roman" w:hAnsi="inherit" w:cs="Times New Roman"/>
          <w:i/>
          <w:iCs/>
          <w:color w:val="000000"/>
          <w:sz w:val="24"/>
          <w:szCs w:val="24"/>
          <w:bdr w:val="none" w:sz="0" w:space="0" w:color="auto" w:frame="1"/>
        </w:rPr>
        <w:t>Alice Lakwenaand the Holy Spirits: War in Northern Uganda, 1985–1996</w:t>
      </w:r>
      <w:r w:rsidRPr="00B67784">
        <w:rPr>
          <w:rFonts w:ascii="Cambria" w:eastAsia="Times New Roman" w:hAnsi="Cambria" w:cs="Times New Roman"/>
          <w:color w:val="000000"/>
          <w:sz w:val="24"/>
          <w:szCs w:val="24"/>
        </w:rPr>
        <w:t> (Athens, OH: Ohio University Press, 2000). Studies of the interaction betweenanimism and Christianity include Ramón A. Gutiérrez, </w:t>
      </w:r>
      <w:r w:rsidRPr="00B67784">
        <w:rPr>
          <w:rFonts w:ascii="inherit" w:eastAsia="Times New Roman" w:hAnsi="inherit" w:cs="Times New Roman"/>
          <w:i/>
          <w:iCs/>
          <w:color w:val="000000"/>
          <w:sz w:val="24"/>
          <w:szCs w:val="24"/>
          <w:bdr w:val="none" w:sz="0" w:space="0" w:color="auto" w:frame="1"/>
        </w:rPr>
        <w:t>When Jesus Came, the</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Corn Mothers Went Away: Marriage, Sexuality, and Power in NewMexico, 1500–1846</w:t>
      </w:r>
      <w:r w:rsidRPr="00B67784">
        <w:rPr>
          <w:rFonts w:ascii="Cambria" w:eastAsia="Times New Roman" w:hAnsi="Cambria" w:cs="Times New Roman"/>
          <w:color w:val="000000"/>
          <w:sz w:val="24"/>
          <w:szCs w:val="24"/>
        </w:rPr>
        <w:t> (Stanford, CA: Stanford University Press, 1991) and Martha Few, </w:t>
      </w:r>
      <w:r w:rsidRPr="00B67784">
        <w:rPr>
          <w:rFonts w:ascii="inherit" w:eastAsia="Times New Roman" w:hAnsi="inherit" w:cs="Times New Roman"/>
          <w:i/>
          <w:iCs/>
          <w:color w:val="000000"/>
          <w:sz w:val="24"/>
          <w:szCs w:val="24"/>
          <w:bdr w:val="none" w:sz="0" w:space="0" w:color="auto" w:frame="1"/>
        </w:rPr>
        <w:t>Women Who Live Evil Lives: Gender, Religion, and thePolitics of Power in Colonial Guatemala</w:t>
      </w:r>
      <w:r w:rsidRPr="00B67784">
        <w:rPr>
          <w:rFonts w:ascii="Cambria" w:eastAsia="Times New Roman" w:hAnsi="Cambria" w:cs="Times New Roman"/>
          <w:color w:val="000000"/>
          <w:sz w:val="24"/>
          <w:szCs w:val="24"/>
        </w:rPr>
        <w:t> (Austin: University of Texas Press, 2002).</w:t>
      </w:r>
    </w:p>
    <w:p w14:paraId="518ED673" w14:textId="77777777" w:rsidR="00B67784" w:rsidRPr="00B67784" w:rsidRDefault="00B67784" w:rsidP="00B67784">
      <w:pPr>
        <w:shd w:val="clear" w:color="auto" w:fill="FFFFFF"/>
        <w:spacing w:after="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Contemporary animism and paganism have been explored in Margot Adler, </w:t>
      </w:r>
      <w:r w:rsidRPr="00B67784">
        <w:rPr>
          <w:rFonts w:ascii="inherit" w:eastAsia="Times New Roman" w:hAnsi="inherit" w:cs="Times New Roman"/>
          <w:i/>
          <w:iCs/>
          <w:color w:val="000000"/>
          <w:sz w:val="24"/>
          <w:szCs w:val="24"/>
          <w:bdr w:val="none" w:sz="0" w:space="0" w:color="auto" w:frame="1"/>
        </w:rPr>
        <w:t>Drawing Down the Moon: Witches, Druids, Goddess-Worshippersand Other Pagans in America Today</w:t>
      </w:r>
      <w:r w:rsidRPr="00B67784">
        <w:rPr>
          <w:rFonts w:ascii="Cambria" w:eastAsia="Times New Roman" w:hAnsi="Cambria" w:cs="Times New Roman"/>
          <w:color w:val="000000"/>
          <w:sz w:val="24"/>
          <w:szCs w:val="24"/>
        </w:rPr>
        <w:t> (2nd edn., Boston: Beacon Press, 1986); Paula Gunn Allen, </w:t>
      </w:r>
      <w:r w:rsidRPr="00B67784">
        <w:rPr>
          <w:rFonts w:ascii="inherit" w:eastAsia="Times New Roman" w:hAnsi="inherit" w:cs="Times New Roman"/>
          <w:i/>
          <w:iCs/>
          <w:color w:val="000000"/>
          <w:sz w:val="24"/>
          <w:szCs w:val="24"/>
          <w:bdr w:val="none" w:sz="0" w:space="0" w:color="auto" w:frame="1"/>
        </w:rPr>
        <w:t>The Sacred Hoop: Recovering the Feminine inAmerican</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Indian Traditions</w:t>
      </w:r>
      <w:r w:rsidRPr="00B67784">
        <w:rPr>
          <w:rFonts w:ascii="Cambria" w:eastAsia="Times New Roman" w:hAnsi="Cambria" w:cs="Times New Roman"/>
          <w:color w:val="000000"/>
          <w:sz w:val="24"/>
          <w:szCs w:val="24"/>
        </w:rPr>
        <w:t> (Boston: Beacon Press, 1986); Carol P. Christ and Judith Plaskow, eds., </w:t>
      </w:r>
      <w:r w:rsidRPr="00B67784">
        <w:rPr>
          <w:rFonts w:ascii="inherit" w:eastAsia="Times New Roman" w:hAnsi="inherit" w:cs="Times New Roman"/>
          <w:i/>
          <w:iCs/>
          <w:color w:val="000000"/>
          <w:sz w:val="24"/>
          <w:szCs w:val="24"/>
          <w:bdr w:val="none" w:sz="0" w:space="0" w:color="auto" w:frame="1"/>
        </w:rPr>
        <w:t>Weaving the Vision: New Patterns inFeminist Spirituality</w:t>
      </w:r>
      <w:r w:rsidRPr="00B67784">
        <w:rPr>
          <w:rFonts w:ascii="Cambria" w:eastAsia="Times New Roman" w:hAnsi="Cambria" w:cs="Times New Roman"/>
          <w:color w:val="000000"/>
          <w:sz w:val="24"/>
          <w:szCs w:val="24"/>
        </w:rPr>
        <w:t> (New York: Harper and Row, 1989) and </w:t>
      </w:r>
      <w:r w:rsidRPr="00B67784">
        <w:rPr>
          <w:rFonts w:ascii="inherit" w:eastAsia="Times New Roman" w:hAnsi="inherit" w:cs="Times New Roman"/>
          <w:i/>
          <w:iCs/>
          <w:color w:val="000000"/>
          <w:sz w:val="24"/>
          <w:szCs w:val="24"/>
          <w:bdr w:val="none" w:sz="0" w:space="0" w:color="auto" w:frame="1"/>
        </w:rPr>
        <w:t>Womanspirit Rising: A Feminist</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Reader in Religion</w:t>
      </w:r>
      <w:r w:rsidRPr="00B67784">
        <w:rPr>
          <w:rFonts w:ascii="Cambria" w:eastAsia="Times New Roman" w:hAnsi="Cambria" w:cs="Times New Roman"/>
          <w:color w:val="000000"/>
          <w:sz w:val="24"/>
          <w:szCs w:val="24"/>
        </w:rPr>
        <w:t> (2nd edn., New York: Harperand Row, 1991).</w:t>
      </w:r>
    </w:p>
    <w:p w14:paraId="6FC5C83A" w14:textId="77777777" w:rsidR="00B67784" w:rsidRPr="00B67784" w:rsidRDefault="00B67784" w:rsidP="00B67784">
      <w:pPr>
        <w:spacing w:before="360" w:after="180" w:line="270" w:lineRule="atLeast"/>
        <w:jc w:val="center"/>
        <w:rPr>
          <w:rFonts w:ascii="Cambria" w:eastAsia="Times New Roman" w:hAnsi="Cambria" w:cs="Times New Roman"/>
          <w:b/>
          <w:bCs/>
          <w:color w:val="000000"/>
          <w:sz w:val="32"/>
          <w:szCs w:val="32"/>
        </w:rPr>
      </w:pPr>
      <w:r w:rsidRPr="00B67784">
        <w:rPr>
          <w:rFonts w:ascii="Cambria" w:eastAsia="Times New Roman" w:hAnsi="Cambria" w:cs="Times New Roman"/>
          <w:b/>
          <w:bCs/>
          <w:color w:val="000000"/>
          <w:sz w:val="32"/>
          <w:szCs w:val="32"/>
        </w:rPr>
        <w:t>Near Eastern religions</w:t>
      </w:r>
    </w:p>
    <w:p w14:paraId="119F39BB" w14:textId="77777777" w:rsidR="00B67784" w:rsidRPr="00B67784" w:rsidRDefault="00B67784" w:rsidP="00B67784">
      <w:pPr>
        <w:shd w:val="clear" w:color="auto" w:fill="FFFFFF"/>
        <w:spacing w:after="0" w:line="240" w:lineRule="auto"/>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Studies of ancient Near Eastern and Mediterranean mythology all discuss stories of various gods, goddesses, and other mythical figures. Formore focused studies, see Mary Lefkowitz, </w:t>
      </w:r>
      <w:r w:rsidRPr="00B67784">
        <w:rPr>
          <w:rFonts w:ascii="inherit" w:eastAsia="Times New Roman" w:hAnsi="inherit" w:cs="Times New Roman"/>
          <w:i/>
          <w:iCs/>
          <w:color w:val="000000"/>
          <w:sz w:val="24"/>
          <w:szCs w:val="24"/>
          <w:bdr w:val="none" w:sz="0" w:space="0" w:color="auto" w:frame="1"/>
        </w:rPr>
        <w:lastRenderedPageBreak/>
        <w:t>Women in Greek Myth</w:t>
      </w:r>
      <w:r w:rsidRPr="00B67784">
        <w:rPr>
          <w:rFonts w:ascii="Cambria" w:eastAsia="Times New Roman" w:hAnsi="Cambria" w:cs="Times New Roman"/>
          <w:color w:val="000000"/>
          <w:sz w:val="24"/>
          <w:szCs w:val="24"/>
        </w:rPr>
        <w:t> (Baltimore, MD: Johns Hopkins University Press, 1986); Barbara S. Lesko,ed., </w:t>
      </w:r>
      <w:r w:rsidRPr="00B67784">
        <w:rPr>
          <w:rFonts w:ascii="inherit" w:eastAsia="Times New Roman" w:hAnsi="inherit" w:cs="Times New Roman"/>
          <w:i/>
          <w:iCs/>
          <w:color w:val="000000"/>
          <w:sz w:val="24"/>
          <w:szCs w:val="24"/>
          <w:bdr w:val="none" w:sz="0" w:space="0" w:color="auto" w:frame="1"/>
        </w:rPr>
        <w:t>Women’s Earliest Records: From Ancient Egypt and Western Asia</w:t>
      </w:r>
      <w:r w:rsidRPr="00B67784">
        <w:rPr>
          <w:rFonts w:ascii="Cambria" w:eastAsia="Times New Roman" w:hAnsi="Cambria" w:cs="Times New Roman"/>
          <w:color w:val="000000"/>
          <w:sz w:val="24"/>
          <w:szCs w:val="24"/>
        </w:rPr>
        <w:t> (Atlanta, GA: Scholars Press, 1989); Lynn Roller, </w:t>
      </w:r>
      <w:r w:rsidRPr="00B67784">
        <w:rPr>
          <w:rFonts w:ascii="inherit" w:eastAsia="Times New Roman" w:hAnsi="inherit" w:cs="Times New Roman"/>
          <w:i/>
          <w:iCs/>
          <w:color w:val="000000"/>
          <w:sz w:val="24"/>
          <w:szCs w:val="24"/>
          <w:bdr w:val="none" w:sz="0" w:space="0" w:color="auto" w:frame="1"/>
        </w:rPr>
        <w:t>In Search of God theMother: The</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Cult of Anatolian Cybele</w:t>
      </w:r>
      <w:r w:rsidRPr="00B67784">
        <w:rPr>
          <w:rFonts w:ascii="Cambria" w:eastAsia="Times New Roman" w:hAnsi="Cambria" w:cs="Times New Roman"/>
          <w:color w:val="000000"/>
          <w:sz w:val="24"/>
          <w:szCs w:val="24"/>
        </w:rPr>
        <w:t> (Berkeley: University of California Press, 1999); Jamsheed K. Choksy, </w:t>
      </w:r>
      <w:r w:rsidRPr="00B67784">
        <w:rPr>
          <w:rFonts w:ascii="inherit" w:eastAsia="Times New Roman" w:hAnsi="inherit" w:cs="Times New Roman"/>
          <w:i/>
          <w:iCs/>
          <w:color w:val="000000"/>
          <w:sz w:val="24"/>
          <w:szCs w:val="24"/>
          <w:bdr w:val="none" w:sz="0" w:space="0" w:color="auto" w:frame="1"/>
        </w:rPr>
        <w:t>Evil, Good, and Gender: Facets of theFeminine in</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Zoroastrian Religious History</w:t>
      </w:r>
      <w:r w:rsidRPr="00B67784">
        <w:rPr>
          <w:rFonts w:ascii="Cambria" w:eastAsia="Times New Roman" w:hAnsi="Cambria" w:cs="Times New Roman"/>
          <w:color w:val="000000"/>
          <w:sz w:val="24"/>
          <w:szCs w:val="24"/>
        </w:rPr>
        <w:t> (New York: Peter Lang, 2002); Susan (Berkeley: University of California Press, 2004); Maryline Parcaand Angeliki Tzanetou, eds., </w:t>
      </w:r>
      <w:r w:rsidRPr="00B67784">
        <w:rPr>
          <w:rFonts w:ascii="inherit" w:eastAsia="Times New Roman" w:hAnsi="inherit" w:cs="Times New Roman"/>
          <w:i/>
          <w:iCs/>
          <w:color w:val="000000"/>
          <w:sz w:val="24"/>
          <w:szCs w:val="24"/>
          <w:bdr w:val="none" w:sz="0" w:space="0" w:color="auto" w:frame="1"/>
        </w:rPr>
        <w:t>Finding Persephone: Women’s Rituals in the Ancient Mediterranean</w:t>
      </w:r>
      <w:r w:rsidRPr="00B67784">
        <w:rPr>
          <w:rFonts w:ascii="Cambria" w:eastAsia="Times New Roman" w:hAnsi="Cambria" w:cs="Times New Roman"/>
          <w:color w:val="000000"/>
          <w:sz w:val="24"/>
          <w:szCs w:val="24"/>
        </w:rPr>
        <w:t> (Bloomington: Indiana University Press, 2007).A fine source collection about women and religion in the ancient world is Ross Kraemer, ed., </w:t>
      </w:r>
      <w:r w:rsidRPr="00B67784">
        <w:rPr>
          <w:rFonts w:ascii="inherit" w:eastAsia="Times New Roman" w:hAnsi="inherit" w:cs="Times New Roman"/>
          <w:i/>
          <w:iCs/>
          <w:color w:val="000000"/>
          <w:sz w:val="24"/>
          <w:szCs w:val="24"/>
          <w:bdr w:val="none" w:sz="0" w:space="0" w:color="auto" w:frame="1"/>
        </w:rPr>
        <w:t>Maenads, Martyrs, Matrons, Monastics: ASourcebook</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on Women’s Religions in the Greco-Roman World</w:t>
      </w:r>
      <w:r w:rsidRPr="00B67784">
        <w:rPr>
          <w:rFonts w:ascii="Cambria" w:eastAsia="Times New Roman" w:hAnsi="Cambria" w:cs="Times New Roman"/>
          <w:color w:val="000000"/>
          <w:sz w:val="24"/>
          <w:szCs w:val="24"/>
        </w:rPr>
        <w:t> (Philadelphia: Fortress Press, 1988).</w:t>
      </w:r>
    </w:p>
    <w:p w14:paraId="24767AB3" w14:textId="77777777" w:rsidR="00B67784" w:rsidRPr="00B67784" w:rsidRDefault="00B67784" w:rsidP="00B67784">
      <w:pPr>
        <w:shd w:val="clear" w:color="auto" w:fill="FFFFFF"/>
        <w:spacing w:after="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There are, of course, many more analyses of Judaism than of other ancient Near Eastern religions. For two thought-provoking discussionsof sexuality in Judaism, see Phyllis Trible, </w:t>
      </w:r>
      <w:r w:rsidRPr="00B67784">
        <w:rPr>
          <w:rFonts w:ascii="inherit" w:eastAsia="Times New Roman" w:hAnsi="inherit" w:cs="Times New Roman"/>
          <w:i/>
          <w:iCs/>
          <w:color w:val="000000"/>
          <w:sz w:val="24"/>
          <w:szCs w:val="24"/>
          <w:bdr w:val="none" w:sz="0" w:space="0" w:color="auto" w:frame="1"/>
        </w:rPr>
        <w:t>God and the Rhetoric of Sexuality</w:t>
      </w:r>
      <w:r w:rsidRPr="00B67784">
        <w:rPr>
          <w:rFonts w:ascii="Cambria" w:eastAsia="Times New Roman" w:hAnsi="Cambria" w:cs="Times New Roman"/>
          <w:color w:val="000000"/>
          <w:sz w:val="24"/>
          <w:szCs w:val="24"/>
        </w:rPr>
        <w:t> (Philadelphia: Fortress Press, 1978) and Howard Eilberg-Schwartz, </w:t>
      </w:r>
      <w:r w:rsidRPr="00B67784">
        <w:rPr>
          <w:rFonts w:ascii="inherit" w:eastAsia="Times New Roman" w:hAnsi="inherit" w:cs="Times New Roman"/>
          <w:i/>
          <w:iCs/>
          <w:color w:val="000000"/>
          <w:sz w:val="24"/>
          <w:szCs w:val="24"/>
          <w:bdr w:val="none" w:sz="0" w:space="0" w:color="auto" w:frame="1"/>
        </w:rPr>
        <w:t>God’s Phallus</w:t>
      </w:r>
      <w:r w:rsidRPr="00B67784">
        <w:rPr>
          <w:rFonts w:ascii="Cambria" w:eastAsia="Times New Roman" w:hAnsi="Cambria" w:cs="Times New Roman"/>
          <w:color w:val="000000"/>
          <w:sz w:val="24"/>
          <w:szCs w:val="24"/>
        </w:rPr>
        <w:t> (Boston: Beacon Press, 1994). For Jewish law see Jacob Neusner, </w:t>
      </w:r>
      <w:r w:rsidRPr="00B67784">
        <w:rPr>
          <w:rFonts w:ascii="inherit" w:eastAsia="Times New Roman" w:hAnsi="inherit" w:cs="Times New Roman"/>
          <w:i/>
          <w:iCs/>
          <w:color w:val="000000"/>
          <w:sz w:val="24"/>
          <w:szCs w:val="24"/>
          <w:bdr w:val="none" w:sz="0" w:space="0" w:color="auto" w:frame="1"/>
        </w:rPr>
        <w:t>A History of</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Mishnaic Law of Women</w:t>
      </w:r>
      <w:r w:rsidRPr="00B67784">
        <w:rPr>
          <w:rFonts w:ascii="Cambria" w:eastAsia="Times New Roman" w:hAnsi="Cambria" w:cs="Times New Roman"/>
          <w:color w:val="000000"/>
          <w:sz w:val="24"/>
          <w:szCs w:val="24"/>
        </w:rPr>
        <w:t> (Leiden: Brill, 1980);Rachel Biale, </w:t>
      </w:r>
      <w:r w:rsidRPr="00B67784">
        <w:rPr>
          <w:rFonts w:ascii="inherit" w:eastAsia="Times New Roman" w:hAnsi="inherit" w:cs="Times New Roman"/>
          <w:i/>
          <w:iCs/>
          <w:color w:val="000000"/>
          <w:sz w:val="24"/>
          <w:szCs w:val="24"/>
          <w:bdr w:val="none" w:sz="0" w:space="0" w:color="auto" w:frame="1"/>
        </w:rPr>
        <w:t>Women in</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Jewish Law: An Exploration of Women’s Issues in Halakhic Sources</w:t>
      </w:r>
      <w:r w:rsidRPr="00B67784">
        <w:rPr>
          <w:rFonts w:ascii="Cambria" w:eastAsia="Times New Roman" w:hAnsi="Cambria" w:cs="Times New Roman"/>
          <w:color w:val="000000"/>
          <w:sz w:val="24"/>
          <w:szCs w:val="24"/>
        </w:rPr>
        <w:t> (New York: Schocken Books, 1984). For collectionsthat range over a long time period, see Judith Baskin, ed., </w:t>
      </w:r>
      <w:r w:rsidRPr="00B67784">
        <w:rPr>
          <w:rFonts w:ascii="inherit" w:eastAsia="Times New Roman" w:hAnsi="inherit" w:cs="Times New Roman"/>
          <w:i/>
          <w:iCs/>
          <w:color w:val="000000"/>
          <w:sz w:val="24"/>
          <w:szCs w:val="24"/>
          <w:bdr w:val="none" w:sz="0" w:space="0" w:color="auto" w:frame="1"/>
        </w:rPr>
        <w:t>Jewish Women in Historical Perspective</w:t>
      </w:r>
      <w:r w:rsidRPr="00B67784">
        <w:rPr>
          <w:rFonts w:ascii="Cambria" w:eastAsia="Times New Roman" w:hAnsi="Cambria" w:cs="Times New Roman"/>
          <w:color w:val="000000"/>
          <w:sz w:val="24"/>
          <w:szCs w:val="24"/>
        </w:rPr>
        <w:t> (Detroit: Wayne State University Press, 1991)and Ellen M. Umansky and Diane Ashton, eds., </w:t>
      </w:r>
      <w:r w:rsidRPr="00B67784">
        <w:rPr>
          <w:rFonts w:ascii="inherit" w:eastAsia="Times New Roman" w:hAnsi="inherit" w:cs="Times New Roman"/>
          <w:i/>
          <w:iCs/>
          <w:color w:val="000000"/>
          <w:sz w:val="24"/>
          <w:szCs w:val="24"/>
          <w:bdr w:val="none" w:sz="0" w:space="0" w:color="auto" w:frame="1"/>
        </w:rPr>
        <w:t>Four Centuries of Jewish Women’s Spirituality</w:t>
      </w:r>
      <w:r w:rsidRPr="00B67784">
        <w:rPr>
          <w:rFonts w:ascii="Cambria" w:eastAsia="Times New Roman" w:hAnsi="Cambria" w:cs="Times New Roman"/>
          <w:color w:val="000000"/>
          <w:sz w:val="24"/>
          <w:szCs w:val="24"/>
        </w:rPr>
        <w:t> (Boston: Beacon Press, 1992). Two good studiesof gender in medieval Judaism are Tova Rosen, </w:t>
      </w:r>
      <w:r w:rsidRPr="00B67784">
        <w:rPr>
          <w:rFonts w:ascii="inherit" w:eastAsia="Times New Roman" w:hAnsi="inherit" w:cs="Times New Roman"/>
          <w:i/>
          <w:iCs/>
          <w:color w:val="000000"/>
          <w:sz w:val="24"/>
          <w:szCs w:val="24"/>
          <w:bdr w:val="none" w:sz="0" w:space="0" w:color="auto" w:frame="1"/>
        </w:rPr>
        <w:t>Unveiling Eve: Reading Gender in Medieval Hebrew Literature</w:t>
      </w:r>
      <w:r w:rsidRPr="00B67784">
        <w:rPr>
          <w:rFonts w:ascii="Cambria" w:eastAsia="Times New Roman" w:hAnsi="Cambria" w:cs="Times New Roman"/>
          <w:color w:val="000000"/>
          <w:sz w:val="24"/>
          <w:szCs w:val="24"/>
        </w:rPr>
        <w:t> (Philadelphia: University ofPennsylvania Press, 2003) and Avraham Grossman, </w:t>
      </w:r>
      <w:r w:rsidRPr="00B67784">
        <w:rPr>
          <w:rFonts w:ascii="inherit" w:eastAsia="Times New Roman" w:hAnsi="inherit" w:cs="Times New Roman"/>
          <w:i/>
          <w:iCs/>
          <w:color w:val="000000"/>
          <w:sz w:val="24"/>
          <w:szCs w:val="24"/>
          <w:bdr w:val="none" w:sz="0" w:space="0" w:color="auto" w:frame="1"/>
        </w:rPr>
        <w:t>Pious and Rebellious: Jewish Women in Medieval Europe</w:t>
      </w:r>
      <w:r w:rsidRPr="00B67784">
        <w:rPr>
          <w:rFonts w:ascii="Cambria" w:eastAsia="Times New Roman" w:hAnsi="Cambria" w:cs="Times New Roman"/>
          <w:color w:val="000000"/>
          <w:sz w:val="24"/>
          <w:szCs w:val="24"/>
        </w:rPr>
        <w:t>, trans. Jonathan Chipman(Lebanon, NH: University Press of New England, 2004). For more recent developments, see Susannah Heschel, </w:t>
      </w:r>
      <w:r w:rsidRPr="00B67784">
        <w:rPr>
          <w:rFonts w:ascii="inherit" w:eastAsia="Times New Roman" w:hAnsi="inherit" w:cs="Times New Roman"/>
          <w:i/>
          <w:iCs/>
          <w:color w:val="000000"/>
          <w:sz w:val="24"/>
          <w:szCs w:val="24"/>
          <w:bdr w:val="none" w:sz="0" w:space="0" w:color="auto" w:frame="1"/>
        </w:rPr>
        <w:t>On Being a Jewish Feminist: AReader</w:t>
      </w:r>
      <w:r w:rsidRPr="00B67784">
        <w:rPr>
          <w:rFonts w:ascii="Cambria" w:eastAsia="Times New Roman" w:hAnsi="Cambria" w:cs="Times New Roman"/>
          <w:color w:val="000000"/>
          <w:sz w:val="24"/>
          <w:szCs w:val="24"/>
        </w:rPr>
        <w:t> (New York: Schocken Books, 1983); Judith Plaskow, </w:t>
      </w:r>
      <w:r w:rsidRPr="00B67784">
        <w:rPr>
          <w:rFonts w:ascii="inherit" w:eastAsia="Times New Roman" w:hAnsi="inherit" w:cs="Times New Roman"/>
          <w:i/>
          <w:iCs/>
          <w:color w:val="000000"/>
          <w:sz w:val="24"/>
          <w:szCs w:val="24"/>
          <w:bdr w:val="none" w:sz="0" w:space="0" w:color="auto" w:frame="1"/>
        </w:rPr>
        <w:t>Standing Again at Sinai: Judaism from a Feminist Perspective</w:t>
      </w:r>
      <w:r w:rsidRPr="00B67784">
        <w:rPr>
          <w:rFonts w:ascii="Cambria" w:eastAsia="Times New Roman" w:hAnsi="Cambria" w:cs="Times New Roman"/>
          <w:color w:val="000000"/>
          <w:sz w:val="24"/>
          <w:szCs w:val="24"/>
        </w:rPr>
        <w:t> (San Francisco:Harper and Row, 1990), and the magazine </w:t>
      </w:r>
      <w:r w:rsidRPr="00B67784">
        <w:rPr>
          <w:rFonts w:ascii="inherit" w:eastAsia="Times New Roman" w:hAnsi="inherit" w:cs="Times New Roman"/>
          <w:i/>
          <w:iCs/>
          <w:color w:val="000000"/>
          <w:sz w:val="24"/>
          <w:szCs w:val="24"/>
          <w:bdr w:val="none" w:sz="0" w:space="0" w:color="auto" w:frame="1"/>
        </w:rPr>
        <w:t>Lilith</w:t>
      </w:r>
      <w:r w:rsidRPr="00B67784">
        <w:rPr>
          <w:rFonts w:ascii="Cambria" w:eastAsia="Times New Roman" w:hAnsi="Cambria" w:cs="Times New Roman"/>
          <w:color w:val="000000"/>
          <w:sz w:val="24"/>
          <w:szCs w:val="24"/>
        </w:rPr>
        <w:t>, which began publication in the 1970s.</w:t>
      </w:r>
    </w:p>
    <w:p w14:paraId="704DEE9B" w14:textId="77777777" w:rsidR="00B67784" w:rsidRPr="00B67784" w:rsidRDefault="00B67784" w:rsidP="00B67784">
      <w:pPr>
        <w:spacing w:before="360" w:after="180" w:line="270" w:lineRule="atLeast"/>
        <w:jc w:val="center"/>
        <w:rPr>
          <w:rFonts w:ascii="Cambria" w:eastAsia="Times New Roman" w:hAnsi="Cambria" w:cs="Times New Roman"/>
          <w:b/>
          <w:bCs/>
          <w:color w:val="000000"/>
          <w:sz w:val="32"/>
          <w:szCs w:val="32"/>
        </w:rPr>
      </w:pPr>
      <w:r w:rsidRPr="00B67784">
        <w:rPr>
          <w:rFonts w:ascii="Cambria" w:eastAsia="Times New Roman" w:hAnsi="Cambria" w:cs="Times New Roman"/>
          <w:b/>
          <w:bCs/>
          <w:color w:val="000000"/>
          <w:sz w:val="32"/>
          <w:szCs w:val="32"/>
        </w:rPr>
        <w:t>Confucianism and Taoism</w:t>
      </w:r>
    </w:p>
    <w:p w14:paraId="78C79861" w14:textId="77777777" w:rsidR="00B67784" w:rsidRPr="00B67784" w:rsidRDefault="00B67784" w:rsidP="00B67784">
      <w:pPr>
        <w:shd w:val="clear" w:color="auto" w:fill="FFFFFF"/>
        <w:spacing w:after="0" w:line="240" w:lineRule="auto"/>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Discussion of gender in Chinese religions may be found in more general accounts of Chinese culture, such as Margery Wolf and Roxane Witker, </w:t>
      </w:r>
      <w:r w:rsidRPr="00B67784">
        <w:rPr>
          <w:rFonts w:ascii="inherit" w:eastAsia="Times New Roman" w:hAnsi="inherit" w:cs="Times New Roman"/>
          <w:i/>
          <w:iCs/>
          <w:color w:val="000000"/>
          <w:sz w:val="24"/>
          <w:szCs w:val="24"/>
          <w:bdr w:val="none" w:sz="0" w:space="0" w:color="auto" w:frame="1"/>
        </w:rPr>
        <w:t>Women in Chinese Society</w:t>
      </w:r>
      <w:r w:rsidRPr="00B67784">
        <w:rPr>
          <w:rFonts w:ascii="Cambria" w:eastAsia="Times New Roman" w:hAnsi="Cambria" w:cs="Times New Roman"/>
          <w:color w:val="000000"/>
          <w:sz w:val="24"/>
          <w:szCs w:val="24"/>
        </w:rPr>
        <w:t> (Stanford, CA: Stanford University Press, 1975); Arthur P. Wolf, ed., </w:t>
      </w:r>
      <w:r w:rsidRPr="00B67784">
        <w:rPr>
          <w:rFonts w:ascii="inherit" w:eastAsia="Times New Roman" w:hAnsi="inherit" w:cs="Times New Roman"/>
          <w:i/>
          <w:iCs/>
          <w:color w:val="000000"/>
          <w:sz w:val="24"/>
          <w:szCs w:val="24"/>
          <w:bdr w:val="none" w:sz="0" w:space="0" w:color="auto" w:frame="1"/>
        </w:rPr>
        <w:t>Religion and Ritual in Chinese Society</w:t>
      </w:r>
      <w:r w:rsidRPr="00B67784">
        <w:rPr>
          <w:rFonts w:ascii="Cambria" w:eastAsia="Times New Roman" w:hAnsi="Cambria" w:cs="Times New Roman"/>
          <w:color w:val="000000"/>
          <w:sz w:val="24"/>
          <w:szCs w:val="24"/>
        </w:rPr>
        <w:t> (Stanford,CA: Stanford University Press, 1974); George A. De Vos and Takao Sofue, </w:t>
      </w:r>
      <w:r w:rsidRPr="00B67784">
        <w:rPr>
          <w:rFonts w:ascii="inherit" w:eastAsia="Times New Roman" w:hAnsi="inherit" w:cs="Times New Roman"/>
          <w:i/>
          <w:iCs/>
          <w:color w:val="000000"/>
          <w:sz w:val="24"/>
          <w:szCs w:val="24"/>
          <w:bdr w:val="none" w:sz="0" w:space="0" w:color="auto" w:frame="1"/>
        </w:rPr>
        <w:t>Religion and the Family in East Asia</w:t>
      </w:r>
      <w:r w:rsidRPr="00B67784">
        <w:rPr>
          <w:rFonts w:ascii="Cambria" w:eastAsia="Times New Roman" w:hAnsi="Cambria" w:cs="Times New Roman"/>
          <w:color w:val="000000"/>
          <w:sz w:val="24"/>
          <w:szCs w:val="24"/>
        </w:rPr>
        <w:t> (Berkeley: University of CaliforniaPress, 1984). For more specialized studies, see Edward H. Schaefer, </w:t>
      </w:r>
      <w:r w:rsidRPr="00B67784">
        <w:rPr>
          <w:rFonts w:ascii="inherit" w:eastAsia="Times New Roman" w:hAnsi="inherit" w:cs="Times New Roman"/>
          <w:i/>
          <w:iCs/>
          <w:color w:val="000000"/>
          <w:sz w:val="24"/>
          <w:szCs w:val="24"/>
          <w:bdr w:val="none" w:sz="0" w:space="0" w:color="auto" w:frame="1"/>
        </w:rPr>
        <w:t>The</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Divine Woman: Dragon Ladies and Rain Maidens</w:t>
      </w:r>
      <w:r w:rsidRPr="00B67784">
        <w:rPr>
          <w:rFonts w:ascii="Cambria" w:eastAsia="Times New Roman" w:hAnsi="Cambria" w:cs="Times New Roman"/>
          <w:color w:val="000000"/>
          <w:sz w:val="24"/>
          <w:szCs w:val="24"/>
        </w:rPr>
        <w:t> (San Francisco: NorthPoint Press, 1980); Tomas Cleary, ed., </w:t>
      </w:r>
      <w:r w:rsidRPr="00B67784">
        <w:rPr>
          <w:rFonts w:ascii="inherit" w:eastAsia="Times New Roman" w:hAnsi="inherit" w:cs="Times New Roman"/>
          <w:i/>
          <w:iCs/>
          <w:color w:val="000000"/>
          <w:sz w:val="24"/>
          <w:szCs w:val="24"/>
          <w:bdr w:val="none" w:sz="0" w:space="0" w:color="auto" w:frame="1"/>
        </w:rPr>
        <w:t>Immortal Sisters: Secrets of Taoist</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Women</w:t>
      </w:r>
      <w:r w:rsidRPr="00B67784">
        <w:rPr>
          <w:rFonts w:ascii="Cambria" w:eastAsia="Times New Roman" w:hAnsi="Cambria" w:cs="Times New Roman"/>
          <w:color w:val="000000"/>
          <w:sz w:val="24"/>
          <w:szCs w:val="24"/>
        </w:rPr>
        <w:t> (Boston: Shambhala, 1989); Chenyang Li, ed., </w:t>
      </w:r>
      <w:r w:rsidRPr="00B67784">
        <w:rPr>
          <w:rFonts w:ascii="inherit" w:eastAsia="Times New Roman" w:hAnsi="inherit" w:cs="Times New Roman"/>
          <w:i/>
          <w:iCs/>
          <w:color w:val="000000"/>
          <w:sz w:val="24"/>
          <w:szCs w:val="24"/>
          <w:bdr w:val="none" w:sz="0" w:space="0" w:color="auto" w:frame="1"/>
        </w:rPr>
        <w:t>The Sage and theSecond Sex: Confucianism, Ethics, and Gender</w:t>
      </w:r>
      <w:r w:rsidRPr="00B67784">
        <w:rPr>
          <w:rFonts w:ascii="Cambria" w:eastAsia="Times New Roman" w:hAnsi="Cambria" w:cs="Times New Roman"/>
          <w:color w:val="000000"/>
          <w:sz w:val="24"/>
          <w:szCs w:val="24"/>
        </w:rPr>
        <w:t> (Peru, IL: Open Court, 2000); Li-Hsiang Lisa Rosenlee, </w:t>
      </w:r>
      <w:r w:rsidRPr="00B67784">
        <w:rPr>
          <w:rFonts w:ascii="inherit" w:eastAsia="Times New Roman" w:hAnsi="inherit" w:cs="Times New Roman"/>
          <w:i/>
          <w:iCs/>
          <w:color w:val="000000"/>
          <w:sz w:val="24"/>
          <w:szCs w:val="24"/>
          <w:bdr w:val="none" w:sz="0" w:space="0" w:color="auto" w:frame="1"/>
        </w:rPr>
        <w:t>Confucianism and Women: A PhilosophicalInterpretation</w:t>
      </w:r>
      <w:r w:rsidRPr="00B67784">
        <w:rPr>
          <w:rFonts w:ascii="Cambria" w:eastAsia="Times New Roman" w:hAnsi="Cambria" w:cs="Times New Roman"/>
          <w:color w:val="000000"/>
          <w:sz w:val="24"/>
          <w:szCs w:val="24"/>
        </w:rPr>
        <w:t> (Albany: State University of New York Press, 2006). A good collection of sources is Susan Mann and Yu-Yin Cheng, eds., </w:t>
      </w:r>
      <w:r w:rsidRPr="00B67784">
        <w:rPr>
          <w:rFonts w:ascii="inherit" w:eastAsia="Times New Roman" w:hAnsi="inherit" w:cs="Times New Roman"/>
          <w:i/>
          <w:iCs/>
          <w:color w:val="000000"/>
          <w:sz w:val="24"/>
          <w:szCs w:val="24"/>
          <w:bdr w:val="none" w:sz="0" w:space="0" w:color="auto" w:frame="1"/>
        </w:rPr>
        <w:t>UnderConfucian Eyes: Writings on Gender in Chinese History</w:t>
      </w:r>
      <w:r w:rsidRPr="00B67784">
        <w:rPr>
          <w:rFonts w:ascii="Cambria" w:eastAsia="Times New Roman" w:hAnsi="Cambria" w:cs="Times New Roman"/>
          <w:color w:val="000000"/>
          <w:sz w:val="24"/>
          <w:szCs w:val="24"/>
        </w:rPr>
        <w:t> (Berkeley: University of California Press, 2001).</w:t>
      </w:r>
    </w:p>
    <w:p w14:paraId="1C2DCCFB" w14:textId="77777777" w:rsidR="00B67784" w:rsidRPr="00B67784" w:rsidRDefault="00B67784" w:rsidP="00B67784">
      <w:pPr>
        <w:spacing w:before="360" w:after="180" w:line="270" w:lineRule="atLeast"/>
        <w:jc w:val="center"/>
        <w:rPr>
          <w:rFonts w:ascii="Cambria" w:eastAsia="Times New Roman" w:hAnsi="Cambria" w:cs="Times New Roman"/>
          <w:b/>
          <w:bCs/>
          <w:color w:val="000000"/>
          <w:sz w:val="32"/>
          <w:szCs w:val="32"/>
        </w:rPr>
      </w:pPr>
      <w:r w:rsidRPr="00B67784">
        <w:rPr>
          <w:rFonts w:ascii="Cambria" w:eastAsia="Times New Roman" w:hAnsi="Cambria" w:cs="Times New Roman"/>
          <w:b/>
          <w:bCs/>
          <w:color w:val="000000"/>
          <w:sz w:val="32"/>
          <w:szCs w:val="32"/>
        </w:rPr>
        <w:lastRenderedPageBreak/>
        <w:t>South Asian religions</w:t>
      </w:r>
    </w:p>
    <w:p w14:paraId="241D89E2" w14:textId="77777777" w:rsidR="00B67784" w:rsidRPr="00B67784" w:rsidRDefault="00B67784" w:rsidP="00B67784">
      <w:pPr>
        <w:shd w:val="clear" w:color="auto" w:fill="FFFFFF"/>
        <w:spacing w:after="0" w:line="240" w:lineRule="auto"/>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There are several good studies of Hindu goddesses, including David Kinsley, </w:t>
      </w:r>
      <w:r w:rsidRPr="00B67784">
        <w:rPr>
          <w:rFonts w:ascii="inherit" w:eastAsia="Times New Roman" w:hAnsi="inherit" w:cs="Times New Roman"/>
          <w:i/>
          <w:iCs/>
          <w:color w:val="000000"/>
          <w:sz w:val="24"/>
          <w:szCs w:val="24"/>
          <w:bdr w:val="none" w:sz="0" w:space="0" w:color="auto" w:frame="1"/>
        </w:rPr>
        <w:t>Hindu Goddesses: Visions of the Divine Feminine in the HinduReligious</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Tradition</w:t>
      </w:r>
      <w:r w:rsidRPr="00B67784">
        <w:rPr>
          <w:rFonts w:ascii="Cambria" w:eastAsia="Times New Roman" w:hAnsi="Cambria" w:cs="Times New Roman"/>
          <w:color w:val="000000"/>
          <w:sz w:val="24"/>
          <w:szCs w:val="24"/>
        </w:rPr>
        <w:t> (Berkeley: University of California Press, 1986); Kathleen M. Erndl, </w:t>
      </w:r>
      <w:r w:rsidRPr="00B67784">
        <w:rPr>
          <w:rFonts w:ascii="inherit" w:eastAsia="Times New Roman" w:hAnsi="inherit" w:cs="Times New Roman"/>
          <w:i/>
          <w:iCs/>
          <w:color w:val="000000"/>
          <w:sz w:val="24"/>
          <w:szCs w:val="24"/>
          <w:bdr w:val="none" w:sz="0" w:space="0" w:color="auto" w:frame="1"/>
        </w:rPr>
        <w:t>Victory to the Mother: The Hindu Goddess of NorthwestIndia in</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Myth, Ritual, and Symbol</w:t>
      </w:r>
      <w:r w:rsidRPr="00B67784">
        <w:rPr>
          <w:rFonts w:ascii="Cambria" w:eastAsia="Times New Roman" w:hAnsi="Cambria" w:cs="Times New Roman"/>
          <w:color w:val="000000"/>
          <w:sz w:val="24"/>
          <w:szCs w:val="24"/>
        </w:rPr>
        <w:t> (Oxford: Oxford University Press, 1993); John S. Hawley and Donna M. Wulff, eds., </w:t>
      </w:r>
      <w:r w:rsidRPr="00B67784">
        <w:rPr>
          <w:rFonts w:ascii="inherit" w:eastAsia="Times New Roman" w:hAnsi="inherit" w:cs="Times New Roman"/>
          <w:i/>
          <w:iCs/>
          <w:color w:val="000000"/>
          <w:sz w:val="24"/>
          <w:szCs w:val="24"/>
          <w:bdr w:val="none" w:sz="0" w:space="0" w:color="auto" w:frame="1"/>
        </w:rPr>
        <w:t>Devi: Goddesses of India</w:t>
      </w:r>
      <w:r w:rsidRPr="00B67784">
        <w:rPr>
          <w:rFonts w:ascii="Cambria" w:eastAsia="Times New Roman" w:hAnsi="Cambria" w:cs="Times New Roman"/>
          <w:color w:val="000000"/>
          <w:sz w:val="24"/>
          <w:szCs w:val="24"/>
        </w:rPr>
        <w:t>(Berkeley: University of California Press, 1996); Alf Hiltebeikel and Kathleen M. Erndl, eds., </w:t>
      </w:r>
      <w:r w:rsidRPr="00B67784">
        <w:rPr>
          <w:rFonts w:ascii="inherit" w:eastAsia="Times New Roman" w:hAnsi="inherit" w:cs="Times New Roman"/>
          <w:i/>
          <w:iCs/>
          <w:color w:val="000000"/>
          <w:sz w:val="24"/>
          <w:szCs w:val="24"/>
          <w:bdr w:val="none" w:sz="0" w:space="0" w:color="auto" w:frame="1"/>
        </w:rPr>
        <w:t>Is the Goddess a Feminist? The Politics of SouthAsian</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Goddesses</w:t>
      </w:r>
      <w:r w:rsidRPr="00B67784">
        <w:rPr>
          <w:rFonts w:ascii="Cambria" w:eastAsia="Times New Roman" w:hAnsi="Cambria" w:cs="Times New Roman"/>
          <w:color w:val="000000"/>
          <w:sz w:val="24"/>
          <w:szCs w:val="24"/>
        </w:rPr>
        <w:t> (New York: New York University Press, 2000). For studies of actual people, see Lynn Bennett, </w:t>
      </w:r>
      <w:r w:rsidRPr="00B67784">
        <w:rPr>
          <w:rFonts w:ascii="inherit" w:eastAsia="Times New Roman" w:hAnsi="inherit" w:cs="Times New Roman"/>
          <w:i/>
          <w:iCs/>
          <w:color w:val="000000"/>
          <w:sz w:val="24"/>
          <w:szCs w:val="24"/>
          <w:bdr w:val="none" w:sz="0" w:space="0" w:color="auto" w:frame="1"/>
        </w:rPr>
        <w:t>Dangerous Wives and SacredSisters: Social and Symbolic Roles of High-Caste Women in Nepal</w:t>
      </w:r>
      <w:r w:rsidRPr="00B67784">
        <w:rPr>
          <w:rFonts w:ascii="Cambria" w:eastAsia="Times New Roman" w:hAnsi="Cambria" w:cs="Times New Roman"/>
          <w:color w:val="000000"/>
          <w:sz w:val="24"/>
          <w:szCs w:val="24"/>
        </w:rPr>
        <w:t> (New York; Columbia University Press, 1983); William S. Sax, </w:t>
      </w:r>
      <w:r w:rsidRPr="00B67784">
        <w:rPr>
          <w:rFonts w:ascii="inherit" w:eastAsia="Times New Roman" w:hAnsi="inherit" w:cs="Times New Roman"/>
          <w:i/>
          <w:iCs/>
          <w:color w:val="000000"/>
          <w:sz w:val="24"/>
          <w:szCs w:val="24"/>
          <w:bdr w:val="none" w:sz="0" w:space="0" w:color="auto" w:frame="1"/>
        </w:rPr>
        <w:t>MountainGoddess:</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Gender and Politics in a Himalayan Pilgrimage</w:t>
      </w:r>
      <w:r w:rsidRPr="00B67784">
        <w:rPr>
          <w:rFonts w:ascii="Cambria" w:eastAsia="Times New Roman" w:hAnsi="Cambria" w:cs="Times New Roman"/>
          <w:color w:val="000000"/>
          <w:sz w:val="24"/>
          <w:szCs w:val="24"/>
        </w:rPr>
        <w:t> (Oxford: Oxford University Press, 1991); Lindsey Harlan and Paul Courtright, eds., </w:t>
      </w:r>
      <w:r w:rsidRPr="00B67784">
        <w:rPr>
          <w:rFonts w:ascii="inherit" w:eastAsia="Times New Roman" w:hAnsi="inherit" w:cs="Times New Roman"/>
          <w:i/>
          <w:iCs/>
          <w:color w:val="000000"/>
          <w:sz w:val="24"/>
          <w:szCs w:val="24"/>
          <w:bdr w:val="none" w:sz="0" w:space="0" w:color="auto" w:frame="1"/>
        </w:rPr>
        <w:t>From the Margins</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of Hindu Marriage: Essays on Gender, Religion, and Culture</w:t>
      </w:r>
      <w:r w:rsidRPr="00B67784">
        <w:rPr>
          <w:rFonts w:ascii="Cambria" w:eastAsia="Times New Roman" w:hAnsi="Cambria" w:cs="Times New Roman"/>
          <w:color w:val="000000"/>
          <w:sz w:val="24"/>
          <w:szCs w:val="24"/>
        </w:rPr>
        <w:t> (Oxford: Oxford University Press, 1994); Stephanie Jamison, </w:t>
      </w:r>
      <w:r w:rsidRPr="00B67784">
        <w:rPr>
          <w:rFonts w:ascii="inherit" w:eastAsia="Times New Roman" w:hAnsi="inherit" w:cs="Times New Roman"/>
          <w:i/>
          <w:iCs/>
          <w:color w:val="000000"/>
          <w:sz w:val="24"/>
          <w:szCs w:val="24"/>
          <w:bdr w:val="none" w:sz="0" w:space="0" w:color="auto" w:frame="1"/>
        </w:rPr>
        <w:t>Sacrificed Wife/</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Sacrificer’s Wife: Women, Ritual and Hospitality in Ancient India</w:t>
      </w:r>
      <w:r w:rsidRPr="00B67784">
        <w:rPr>
          <w:rFonts w:ascii="Cambria" w:eastAsia="Times New Roman" w:hAnsi="Cambria" w:cs="Times New Roman"/>
          <w:color w:val="000000"/>
          <w:sz w:val="24"/>
          <w:szCs w:val="24"/>
        </w:rPr>
        <w:t> (Oxford: Oxford University Press, 1996); Andrea Major, ed., </w:t>
      </w:r>
      <w:r w:rsidRPr="00B67784">
        <w:rPr>
          <w:rFonts w:ascii="inherit" w:eastAsia="Times New Roman" w:hAnsi="inherit" w:cs="Times New Roman"/>
          <w:i/>
          <w:iCs/>
          <w:color w:val="000000"/>
          <w:sz w:val="24"/>
          <w:szCs w:val="24"/>
          <w:bdr w:val="none" w:sz="0" w:space="0" w:color="auto" w:frame="1"/>
        </w:rPr>
        <w:t>Sati: A Historical</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Anthology</w:t>
      </w:r>
      <w:r w:rsidRPr="00B67784">
        <w:rPr>
          <w:rFonts w:ascii="Cambria" w:eastAsia="Times New Roman" w:hAnsi="Cambria" w:cs="Times New Roman"/>
          <w:color w:val="000000"/>
          <w:sz w:val="24"/>
          <w:szCs w:val="24"/>
        </w:rPr>
        <w:t> (Oxford: Oxford University Press, 2007). For the complex relationship between gender and nationalism in India,see the entire issue of </w:t>
      </w:r>
      <w:r w:rsidRPr="00B67784">
        <w:rPr>
          <w:rFonts w:ascii="inherit" w:eastAsia="Times New Roman" w:hAnsi="inherit" w:cs="Times New Roman"/>
          <w:i/>
          <w:iCs/>
          <w:color w:val="000000"/>
          <w:sz w:val="24"/>
          <w:szCs w:val="24"/>
          <w:bdr w:val="none" w:sz="0" w:space="0" w:color="auto" w:frame="1"/>
        </w:rPr>
        <w:t>Bulletin of Concerned Asian Scholars</w:t>
      </w:r>
      <w:r w:rsidRPr="00B67784">
        <w:rPr>
          <w:rFonts w:ascii="Cambria" w:eastAsia="Times New Roman" w:hAnsi="Cambria" w:cs="Times New Roman"/>
          <w:color w:val="000000"/>
          <w:sz w:val="24"/>
          <w:szCs w:val="24"/>
        </w:rPr>
        <w:t>, 25:4 (1993), “Women and Religious Nationalism in India.”</w:t>
      </w:r>
    </w:p>
    <w:p w14:paraId="1C3F6EA2" w14:textId="77777777" w:rsidR="00B67784" w:rsidRPr="00B67784" w:rsidRDefault="00B67784" w:rsidP="00B67784">
      <w:pPr>
        <w:shd w:val="clear" w:color="auto" w:fill="FFFFFF"/>
        <w:spacing w:after="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For gender in historical and contemporary Buddhism, see Diana Paul, </w:t>
      </w:r>
      <w:r w:rsidRPr="00B67784">
        <w:rPr>
          <w:rFonts w:ascii="inherit" w:eastAsia="Times New Roman" w:hAnsi="inherit" w:cs="Times New Roman"/>
          <w:i/>
          <w:iCs/>
          <w:color w:val="000000"/>
          <w:sz w:val="24"/>
          <w:szCs w:val="24"/>
          <w:bdr w:val="none" w:sz="0" w:space="0" w:color="auto" w:frame="1"/>
        </w:rPr>
        <w:t>Women in Buddhism: Images of the Feminine in the MahayanaTradition</w:t>
      </w:r>
      <w:r w:rsidRPr="00B67784">
        <w:rPr>
          <w:rFonts w:ascii="Cambria" w:eastAsia="Times New Roman" w:hAnsi="Cambria" w:cs="Times New Roman"/>
          <w:color w:val="000000"/>
          <w:sz w:val="24"/>
          <w:szCs w:val="24"/>
        </w:rPr>
        <w:t> (Berkeley: Asian Humanities Press, 1979); José Ignacio Cabezón, ed., </w:t>
      </w:r>
      <w:r w:rsidRPr="00B67784">
        <w:rPr>
          <w:rFonts w:ascii="inherit" w:eastAsia="Times New Roman" w:hAnsi="inherit" w:cs="Times New Roman"/>
          <w:i/>
          <w:iCs/>
          <w:color w:val="000000"/>
          <w:sz w:val="24"/>
          <w:szCs w:val="24"/>
          <w:bdr w:val="none" w:sz="0" w:space="0" w:color="auto" w:frame="1"/>
        </w:rPr>
        <w:t>Buddhism, Sexuality and Gender</w:t>
      </w:r>
      <w:r w:rsidRPr="00B67784">
        <w:rPr>
          <w:rFonts w:ascii="Cambria" w:eastAsia="Times New Roman" w:hAnsi="Cambria" w:cs="Times New Roman"/>
          <w:color w:val="000000"/>
          <w:sz w:val="24"/>
          <w:szCs w:val="24"/>
        </w:rPr>
        <w:t> (Albany: State University ofNew York Press, 1992); Rita Gross, </w:t>
      </w:r>
      <w:r w:rsidRPr="00B67784">
        <w:rPr>
          <w:rFonts w:ascii="inherit" w:eastAsia="Times New Roman" w:hAnsi="inherit" w:cs="Times New Roman"/>
          <w:i/>
          <w:iCs/>
          <w:color w:val="000000"/>
          <w:sz w:val="24"/>
          <w:szCs w:val="24"/>
          <w:bdr w:val="none" w:sz="0" w:space="0" w:color="auto" w:frame="1"/>
        </w:rPr>
        <w:t>Buddhism after Patriarchy: A Feminist History,</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Reconstruction, and Analysis of Buddhism</w:t>
      </w:r>
      <w:r w:rsidRPr="00B67784">
        <w:rPr>
          <w:rFonts w:ascii="Cambria" w:eastAsia="Times New Roman" w:hAnsi="Cambria" w:cs="Times New Roman"/>
          <w:color w:val="000000"/>
          <w:sz w:val="24"/>
          <w:szCs w:val="24"/>
        </w:rPr>
        <w:t> (Albany: StateUniversity of New York Press, 1993); Miranda Shaw, </w:t>
      </w:r>
      <w:r w:rsidRPr="00B67784">
        <w:rPr>
          <w:rFonts w:ascii="inherit" w:eastAsia="Times New Roman" w:hAnsi="inherit" w:cs="Times New Roman"/>
          <w:i/>
          <w:iCs/>
          <w:color w:val="000000"/>
          <w:sz w:val="24"/>
          <w:szCs w:val="24"/>
          <w:bdr w:val="none" w:sz="0" w:space="0" w:color="auto" w:frame="1"/>
        </w:rPr>
        <w:t>Passionate Enlightenment: Women</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in Tantric Buddhism</w:t>
      </w:r>
      <w:r w:rsidRPr="00B67784">
        <w:rPr>
          <w:rFonts w:ascii="Cambria" w:eastAsia="Times New Roman" w:hAnsi="Cambria" w:cs="Times New Roman"/>
          <w:color w:val="000000"/>
          <w:sz w:val="24"/>
          <w:szCs w:val="24"/>
        </w:rPr>
        <w:t> (Princeton, NJ: PrincetonUniversity Press, 1994); Liz Wilson, </w:t>
      </w:r>
      <w:r w:rsidRPr="00B67784">
        <w:rPr>
          <w:rFonts w:ascii="inherit" w:eastAsia="Times New Roman" w:hAnsi="inherit" w:cs="Times New Roman"/>
          <w:i/>
          <w:iCs/>
          <w:color w:val="000000"/>
          <w:sz w:val="24"/>
          <w:szCs w:val="24"/>
          <w:bdr w:val="none" w:sz="0" w:space="0" w:color="auto" w:frame="1"/>
        </w:rPr>
        <w:t>Charming Cadavers: Horrific Figurations of the Feminine in Indian</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Buddhist Hagiographic Literature</w:t>
      </w:r>
      <w:r w:rsidRPr="00B67784">
        <w:rPr>
          <w:rFonts w:ascii="Cambria" w:eastAsia="Times New Roman" w:hAnsi="Cambria" w:cs="Times New Roman"/>
          <w:color w:val="000000"/>
          <w:sz w:val="24"/>
          <w:szCs w:val="24"/>
        </w:rPr>
        <w:t>(Chicago: University of Chicago Press, 1996); Bernard Faure, </w:t>
      </w:r>
      <w:r w:rsidRPr="00B67784">
        <w:rPr>
          <w:rFonts w:ascii="inherit" w:eastAsia="Times New Roman" w:hAnsi="inherit" w:cs="Times New Roman"/>
          <w:i/>
          <w:iCs/>
          <w:color w:val="000000"/>
          <w:sz w:val="24"/>
          <w:szCs w:val="24"/>
          <w:bdr w:val="none" w:sz="0" w:space="0" w:color="auto" w:frame="1"/>
        </w:rPr>
        <w:t>The Red Thread: Buddhist Approaches to Sexuality</w:t>
      </w:r>
      <w:r w:rsidRPr="00B67784">
        <w:rPr>
          <w:rFonts w:ascii="Cambria" w:eastAsia="Times New Roman" w:hAnsi="Cambria" w:cs="Times New Roman"/>
          <w:color w:val="000000"/>
          <w:sz w:val="24"/>
          <w:szCs w:val="24"/>
        </w:rPr>
        <w:t> (Princeton, NJ: PrincetonUniversity Press, 1998); Karma Lekshe Tsomo, ed., </w:t>
      </w:r>
      <w:r w:rsidRPr="00B67784">
        <w:rPr>
          <w:rFonts w:ascii="inherit" w:eastAsia="Times New Roman" w:hAnsi="inherit" w:cs="Times New Roman"/>
          <w:i/>
          <w:iCs/>
          <w:color w:val="000000"/>
          <w:sz w:val="24"/>
          <w:szCs w:val="24"/>
          <w:bdr w:val="none" w:sz="0" w:space="0" w:color="auto" w:frame="1"/>
        </w:rPr>
        <w:t>Buddhist Women across Cultures: Realizations</w:t>
      </w:r>
      <w:r w:rsidRPr="00B67784">
        <w:rPr>
          <w:rFonts w:ascii="Cambria" w:eastAsia="Times New Roman" w:hAnsi="Cambria" w:cs="Times New Roman"/>
          <w:color w:val="000000"/>
          <w:sz w:val="24"/>
          <w:szCs w:val="24"/>
        </w:rPr>
        <w:t> (New York: State University of New YorkPress, 1999); Ellison Banks Findly, ed., </w:t>
      </w:r>
      <w:r w:rsidRPr="00B67784">
        <w:rPr>
          <w:rFonts w:ascii="inherit" w:eastAsia="Times New Roman" w:hAnsi="inherit" w:cs="Times New Roman"/>
          <w:i/>
          <w:iCs/>
          <w:color w:val="000000"/>
          <w:sz w:val="24"/>
          <w:szCs w:val="24"/>
          <w:bdr w:val="none" w:sz="0" w:space="0" w:color="auto" w:frame="1"/>
        </w:rPr>
        <w:t>Women’s</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Buddhism: Buddhism’s Women: Tradition, Revision, Renewal</w:t>
      </w:r>
      <w:r w:rsidRPr="00B67784">
        <w:rPr>
          <w:rFonts w:ascii="Cambria" w:eastAsia="Times New Roman" w:hAnsi="Cambria" w:cs="Times New Roman"/>
          <w:color w:val="000000"/>
          <w:sz w:val="24"/>
          <w:szCs w:val="24"/>
        </w:rPr>
        <w:t> (Boston: Wisdom Press, 2000);Charlene E. Makley, </w:t>
      </w:r>
      <w:r w:rsidRPr="00B67784">
        <w:rPr>
          <w:rFonts w:ascii="inherit" w:eastAsia="Times New Roman" w:hAnsi="inherit" w:cs="Times New Roman"/>
          <w:i/>
          <w:iCs/>
          <w:color w:val="000000"/>
          <w:sz w:val="24"/>
          <w:szCs w:val="24"/>
          <w:bdr w:val="none" w:sz="0" w:space="0" w:color="auto" w:frame="1"/>
        </w:rPr>
        <w:t>The Violence of Liberation:</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Gender and Tibetan Buddhist Revival in Post-Mao China</w:t>
      </w:r>
      <w:r w:rsidRPr="00B67784">
        <w:rPr>
          <w:rFonts w:ascii="Cambria" w:eastAsia="Times New Roman" w:hAnsi="Cambria" w:cs="Times New Roman"/>
          <w:color w:val="000000"/>
          <w:sz w:val="24"/>
          <w:szCs w:val="24"/>
        </w:rPr>
        <w:t> (Berkeley: University of CaliforniaPress, 2007). On gender in Sikhism, see Doris R. Jakobsh, </w:t>
      </w:r>
      <w:r w:rsidRPr="00B67784">
        <w:rPr>
          <w:rFonts w:ascii="inherit" w:eastAsia="Times New Roman" w:hAnsi="inherit" w:cs="Times New Roman"/>
          <w:i/>
          <w:iCs/>
          <w:color w:val="000000"/>
          <w:sz w:val="24"/>
          <w:szCs w:val="24"/>
          <w:bdr w:val="none" w:sz="0" w:space="0" w:color="auto" w:frame="1"/>
        </w:rPr>
        <w:t>Relocating Gender in Sikh History: Transformation, Meaning and Identity</w:t>
      </w:r>
      <w:r w:rsidRPr="00B67784">
        <w:rPr>
          <w:rFonts w:ascii="Cambria" w:eastAsia="Times New Roman" w:hAnsi="Cambria" w:cs="Times New Roman"/>
          <w:color w:val="000000"/>
          <w:sz w:val="24"/>
          <w:szCs w:val="24"/>
        </w:rPr>
        <w:t> (New York:Oxford University Press, 2005).</w:t>
      </w:r>
    </w:p>
    <w:p w14:paraId="4883F3EC" w14:textId="77777777" w:rsidR="00B67784" w:rsidRPr="00B67784" w:rsidRDefault="00B67784" w:rsidP="00B67784">
      <w:pPr>
        <w:spacing w:before="360" w:after="180" w:line="270" w:lineRule="atLeast"/>
        <w:jc w:val="center"/>
        <w:rPr>
          <w:rFonts w:ascii="Cambria" w:eastAsia="Times New Roman" w:hAnsi="Cambria" w:cs="Times New Roman"/>
          <w:b/>
          <w:bCs/>
          <w:color w:val="000000"/>
          <w:sz w:val="32"/>
          <w:szCs w:val="32"/>
        </w:rPr>
      </w:pPr>
      <w:r w:rsidRPr="00B67784">
        <w:rPr>
          <w:rFonts w:ascii="Cambria" w:eastAsia="Times New Roman" w:hAnsi="Cambria" w:cs="Times New Roman"/>
          <w:b/>
          <w:bCs/>
          <w:color w:val="000000"/>
          <w:sz w:val="32"/>
          <w:szCs w:val="32"/>
        </w:rPr>
        <w:t>Christianity</w:t>
      </w:r>
    </w:p>
    <w:p w14:paraId="093191FC" w14:textId="77777777" w:rsidR="00B67784" w:rsidRPr="00B67784" w:rsidRDefault="00B67784" w:rsidP="00B67784">
      <w:pPr>
        <w:shd w:val="clear" w:color="auto" w:fill="FFFFFF"/>
        <w:spacing w:after="0" w:line="240" w:lineRule="auto"/>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Good essay collections or overviews include Richard L. Greaves, ed., </w:t>
      </w:r>
      <w:r w:rsidRPr="00B67784">
        <w:rPr>
          <w:rFonts w:ascii="inherit" w:eastAsia="Times New Roman" w:hAnsi="inherit" w:cs="Times New Roman"/>
          <w:i/>
          <w:iCs/>
          <w:color w:val="000000"/>
          <w:sz w:val="24"/>
          <w:szCs w:val="24"/>
          <w:bdr w:val="none" w:sz="0" w:space="0" w:color="auto" w:frame="1"/>
        </w:rPr>
        <w:t>Triumph over Silence: Women in Protestant History</w:t>
      </w:r>
      <w:r w:rsidRPr="00B67784">
        <w:rPr>
          <w:rFonts w:ascii="Cambria" w:eastAsia="Times New Roman" w:hAnsi="Cambria" w:cs="Times New Roman"/>
          <w:color w:val="000000"/>
          <w:sz w:val="24"/>
          <w:szCs w:val="24"/>
        </w:rPr>
        <w:t> (Westport, CT:Greenwood Press, 1985); Sherrin Marshall, ed., </w:t>
      </w:r>
      <w:r w:rsidRPr="00B67784">
        <w:rPr>
          <w:rFonts w:ascii="inherit" w:eastAsia="Times New Roman" w:hAnsi="inherit" w:cs="Times New Roman"/>
          <w:i/>
          <w:iCs/>
          <w:color w:val="000000"/>
          <w:sz w:val="24"/>
          <w:szCs w:val="24"/>
          <w:bdr w:val="none" w:sz="0" w:space="0" w:color="auto" w:frame="1"/>
        </w:rPr>
        <w:t>Women in Reformation</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and Counter-Reformation Europe: Public and Private Worlds</w:t>
      </w:r>
      <w:r w:rsidRPr="00B67784">
        <w:rPr>
          <w:rFonts w:ascii="Cambria" w:eastAsia="Times New Roman" w:hAnsi="Cambria" w:cs="Times New Roman"/>
          <w:color w:val="000000"/>
          <w:sz w:val="24"/>
          <w:szCs w:val="24"/>
        </w:rPr>
        <w:t>(Bloomington, Indiana University Press, 1989); Lynda L. Coon et al., eds., </w:t>
      </w:r>
      <w:r w:rsidRPr="00B67784">
        <w:rPr>
          <w:rFonts w:ascii="inherit" w:eastAsia="Times New Roman" w:hAnsi="inherit" w:cs="Times New Roman"/>
          <w:i/>
          <w:iCs/>
          <w:color w:val="000000"/>
          <w:sz w:val="24"/>
          <w:szCs w:val="24"/>
          <w:bdr w:val="none" w:sz="0" w:space="0" w:color="auto" w:frame="1"/>
        </w:rPr>
        <w:t>That Gentle</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Strength: Historical Perspectives on Women inChristianity</w:t>
      </w:r>
      <w:r w:rsidRPr="00B67784">
        <w:rPr>
          <w:rFonts w:ascii="Cambria" w:eastAsia="Times New Roman" w:hAnsi="Cambria" w:cs="Times New Roman"/>
          <w:color w:val="000000"/>
          <w:sz w:val="24"/>
          <w:szCs w:val="24"/>
        </w:rPr>
        <w:t> (Charlottesville: University of Virginia Press, 1990); JoAnn Kay McNamara, </w:t>
      </w:r>
      <w:r w:rsidRPr="00B67784">
        <w:rPr>
          <w:rFonts w:ascii="inherit" w:eastAsia="Times New Roman" w:hAnsi="inherit" w:cs="Times New Roman"/>
          <w:i/>
          <w:iCs/>
          <w:color w:val="000000"/>
          <w:sz w:val="24"/>
          <w:szCs w:val="24"/>
          <w:bdr w:val="none" w:sz="0" w:space="0" w:color="auto" w:frame="1"/>
        </w:rPr>
        <w:t>Sisters in </w:t>
      </w:r>
      <w:r w:rsidRPr="00B67784">
        <w:rPr>
          <w:rFonts w:ascii="inherit" w:eastAsia="Times New Roman" w:hAnsi="inherit" w:cs="Times New Roman"/>
          <w:i/>
          <w:iCs/>
          <w:color w:val="000000"/>
          <w:sz w:val="24"/>
          <w:szCs w:val="24"/>
          <w:bdr w:val="none" w:sz="0" w:space="0" w:color="auto" w:frame="1"/>
        </w:rPr>
        <w:lastRenderedPageBreak/>
        <w:t>Arms: Catholic Nuns through Two Millennia</w:t>
      </w:r>
      <w:r w:rsidRPr="00B67784">
        <w:rPr>
          <w:rFonts w:ascii="Cambria" w:eastAsia="Times New Roman" w:hAnsi="Cambria" w:cs="Times New Roman"/>
          <w:color w:val="000000"/>
          <w:sz w:val="24"/>
          <w:szCs w:val="24"/>
        </w:rPr>
        <w:t>(Cambridge, MA: Harvard University Press, 1996); R. N. Swanson, </w:t>
      </w:r>
      <w:r w:rsidRPr="00B67784">
        <w:rPr>
          <w:rFonts w:ascii="inherit" w:eastAsia="Times New Roman" w:hAnsi="inherit" w:cs="Times New Roman"/>
          <w:i/>
          <w:iCs/>
          <w:color w:val="000000"/>
          <w:sz w:val="24"/>
          <w:szCs w:val="24"/>
          <w:bdr w:val="none" w:sz="0" w:space="0" w:color="auto" w:frame="1"/>
        </w:rPr>
        <w:t>Gender and Christian Religion</w:t>
      </w:r>
      <w:r w:rsidRPr="00B67784">
        <w:rPr>
          <w:rFonts w:ascii="Cambria" w:eastAsia="Times New Roman" w:hAnsi="Cambria" w:cs="Times New Roman"/>
          <w:color w:val="000000"/>
          <w:sz w:val="24"/>
          <w:szCs w:val="24"/>
        </w:rPr>
        <w:t> (London: Boydell and Brewer, 1998); BeverlyMaine Kienzle and Pamela J. Walker, eds., </w:t>
      </w:r>
      <w:r w:rsidRPr="00B67784">
        <w:rPr>
          <w:rFonts w:ascii="inherit" w:eastAsia="Times New Roman" w:hAnsi="inherit" w:cs="Times New Roman"/>
          <w:i/>
          <w:iCs/>
          <w:color w:val="000000"/>
          <w:sz w:val="24"/>
          <w:szCs w:val="24"/>
          <w:bdr w:val="none" w:sz="0" w:space="0" w:color="auto" w:frame="1"/>
        </w:rPr>
        <w:t>Women Preachers and Prophets through Two Millennia of Christianity</w:t>
      </w:r>
      <w:r w:rsidRPr="00B67784">
        <w:rPr>
          <w:rFonts w:ascii="Cambria" w:eastAsia="Times New Roman" w:hAnsi="Cambria" w:cs="Times New Roman"/>
          <w:color w:val="000000"/>
          <w:sz w:val="24"/>
          <w:szCs w:val="24"/>
        </w:rPr>
        <w:t> (Berkeley: University ofCalifornia Press, 1999). For the early church, see Elaine Pagels, </w:t>
      </w:r>
      <w:r w:rsidRPr="00B67784">
        <w:rPr>
          <w:rFonts w:ascii="inherit" w:eastAsia="Times New Roman" w:hAnsi="inherit" w:cs="Times New Roman"/>
          <w:i/>
          <w:iCs/>
          <w:color w:val="000000"/>
          <w:sz w:val="24"/>
          <w:szCs w:val="24"/>
          <w:bdr w:val="none" w:sz="0" w:space="0" w:color="auto" w:frame="1"/>
        </w:rPr>
        <w:t>Adam, Eve, and the Serpent</w:t>
      </w:r>
      <w:r w:rsidRPr="00B67784">
        <w:rPr>
          <w:rFonts w:ascii="Cambria" w:eastAsia="Times New Roman" w:hAnsi="Cambria" w:cs="Times New Roman"/>
          <w:color w:val="000000"/>
          <w:sz w:val="24"/>
          <w:szCs w:val="24"/>
        </w:rPr>
        <w:t> (New York: Random House, 1988); Peter Brown, </w:t>
      </w:r>
      <w:r w:rsidRPr="00B67784">
        <w:rPr>
          <w:rFonts w:ascii="inherit" w:eastAsia="Times New Roman" w:hAnsi="inherit" w:cs="Times New Roman"/>
          <w:i/>
          <w:iCs/>
          <w:color w:val="000000"/>
          <w:sz w:val="24"/>
          <w:szCs w:val="24"/>
          <w:bdr w:val="none" w:sz="0" w:space="0" w:color="auto" w:frame="1"/>
        </w:rPr>
        <w:t>The Body and Society: Men, Women and Sexual</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Renunciation in Early Christianity</w:t>
      </w:r>
      <w:r w:rsidRPr="00B67784">
        <w:rPr>
          <w:rFonts w:ascii="Cambria" w:eastAsia="Times New Roman" w:hAnsi="Cambria" w:cs="Times New Roman"/>
          <w:color w:val="000000"/>
          <w:sz w:val="24"/>
          <w:szCs w:val="24"/>
        </w:rPr>
        <w:t> (New York: Columbia University Press, 1988). For the MiddleAges, see James A. Brundage, </w:t>
      </w:r>
      <w:r w:rsidRPr="00B67784">
        <w:rPr>
          <w:rFonts w:ascii="inherit" w:eastAsia="Times New Roman" w:hAnsi="inherit" w:cs="Times New Roman"/>
          <w:i/>
          <w:iCs/>
          <w:color w:val="000000"/>
          <w:sz w:val="24"/>
          <w:szCs w:val="24"/>
          <w:bdr w:val="none" w:sz="0" w:space="0" w:color="auto" w:frame="1"/>
        </w:rPr>
        <w:t>Law, Sex, and Christian Society in Medieval Europe</w:t>
      </w:r>
      <w:r w:rsidRPr="00B67784">
        <w:rPr>
          <w:rFonts w:ascii="Cambria" w:eastAsia="Times New Roman" w:hAnsi="Cambria" w:cs="Times New Roman"/>
          <w:color w:val="000000"/>
          <w:sz w:val="24"/>
          <w:szCs w:val="24"/>
        </w:rPr>
        <w:t> (Chicago: University of Chicago Press, 1987); Caroline WalkerBynum, </w:t>
      </w:r>
      <w:r w:rsidRPr="00B67784">
        <w:rPr>
          <w:rFonts w:ascii="inherit" w:eastAsia="Times New Roman" w:hAnsi="inherit" w:cs="Times New Roman"/>
          <w:i/>
          <w:iCs/>
          <w:color w:val="000000"/>
          <w:sz w:val="24"/>
          <w:szCs w:val="24"/>
          <w:bdr w:val="none" w:sz="0" w:space="0" w:color="auto" w:frame="1"/>
        </w:rPr>
        <w:t>Holy Feast and Holy Fast: The Religious</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Significance of Food for Medieval Women</w:t>
      </w:r>
      <w:r w:rsidRPr="00B67784">
        <w:rPr>
          <w:rFonts w:ascii="Cambria" w:eastAsia="Times New Roman" w:hAnsi="Cambria" w:cs="Times New Roman"/>
          <w:color w:val="000000"/>
          <w:sz w:val="24"/>
          <w:szCs w:val="24"/>
        </w:rPr>
        <w:t> (Berkeley: University of California Press, 1987);Barbara Newman, </w:t>
      </w:r>
      <w:r w:rsidRPr="00B67784">
        <w:rPr>
          <w:rFonts w:ascii="inherit" w:eastAsia="Times New Roman" w:hAnsi="inherit" w:cs="Times New Roman"/>
          <w:i/>
          <w:iCs/>
          <w:color w:val="000000"/>
          <w:sz w:val="24"/>
          <w:szCs w:val="24"/>
          <w:bdr w:val="none" w:sz="0" w:space="0" w:color="auto" w:frame="1"/>
        </w:rPr>
        <w:t>From Virile Woman to WomanChrist</w:t>
      </w:r>
      <w:r w:rsidRPr="00B67784">
        <w:rPr>
          <w:rFonts w:ascii="Cambria" w:eastAsia="Times New Roman" w:hAnsi="Cambria" w:cs="Times New Roman"/>
          <w:color w:val="000000"/>
          <w:sz w:val="24"/>
          <w:szCs w:val="24"/>
        </w:rPr>
        <w:t> (Philadelphia: University of Pennsylvania Press, 1995); Mark D. Jordan, </w:t>
      </w:r>
      <w:r w:rsidRPr="00B67784">
        <w:rPr>
          <w:rFonts w:ascii="inherit" w:eastAsia="Times New Roman" w:hAnsi="inherit" w:cs="Times New Roman"/>
          <w:i/>
          <w:iCs/>
          <w:color w:val="000000"/>
          <w:sz w:val="24"/>
          <w:szCs w:val="24"/>
          <w:bdr w:val="none" w:sz="0" w:space="0" w:color="auto" w:frame="1"/>
        </w:rPr>
        <w:t>The Inventionof Sodomy in Christian Theology</w:t>
      </w:r>
      <w:r w:rsidRPr="00B67784">
        <w:rPr>
          <w:rFonts w:ascii="Cambria" w:eastAsia="Times New Roman" w:hAnsi="Cambria" w:cs="Times New Roman"/>
          <w:color w:val="000000"/>
          <w:sz w:val="24"/>
          <w:szCs w:val="24"/>
        </w:rPr>
        <w:t> (Chicago: University of Chicago Press, 1997); Jane Schulenberg, </w:t>
      </w:r>
      <w:r w:rsidRPr="00B67784">
        <w:rPr>
          <w:rFonts w:ascii="inherit" w:eastAsia="Times New Roman" w:hAnsi="inherit" w:cs="Times New Roman"/>
          <w:i/>
          <w:iCs/>
          <w:color w:val="000000"/>
          <w:sz w:val="24"/>
          <w:szCs w:val="24"/>
          <w:bdr w:val="none" w:sz="0" w:space="0" w:color="auto" w:frame="1"/>
        </w:rPr>
        <w:t>Forgetful of Their Sex: Female</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Sanctity andSociety, ca. 500–1100</w:t>
      </w:r>
      <w:r w:rsidRPr="00B67784">
        <w:rPr>
          <w:rFonts w:ascii="Cambria" w:eastAsia="Times New Roman" w:hAnsi="Cambria" w:cs="Times New Roman"/>
          <w:color w:val="000000"/>
          <w:sz w:val="24"/>
          <w:szCs w:val="24"/>
        </w:rPr>
        <w:t> (Chicago: University of Chicago Press, 1998); Katherine L. French, </w:t>
      </w:r>
      <w:r w:rsidRPr="00B67784">
        <w:rPr>
          <w:rFonts w:ascii="inherit" w:eastAsia="Times New Roman" w:hAnsi="inherit" w:cs="Times New Roman"/>
          <w:i/>
          <w:iCs/>
          <w:color w:val="000000"/>
          <w:sz w:val="24"/>
          <w:szCs w:val="24"/>
          <w:bdr w:val="none" w:sz="0" w:space="0" w:color="auto" w:frame="1"/>
        </w:rPr>
        <w:t>The Good Women of the Parish: Gender and</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Religionafter the Black Death</w:t>
      </w:r>
      <w:r w:rsidRPr="00B67784">
        <w:rPr>
          <w:rFonts w:ascii="Cambria" w:eastAsia="Times New Roman" w:hAnsi="Cambria" w:cs="Times New Roman"/>
          <w:color w:val="000000"/>
          <w:sz w:val="24"/>
          <w:szCs w:val="24"/>
        </w:rPr>
        <w:t> (Philadelphia: University of Pennsylvania Press, 2007). For the early modern period, see Eve Levin, </w:t>
      </w:r>
      <w:r w:rsidRPr="00B67784">
        <w:rPr>
          <w:rFonts w:ascii="inherit" w:eastAsia="Times New Roman" w:hAnsi="inherit" w:cs="Times New Roman"/>
          <w:i/>
          <w:iCs/>
          <w:color w:val="000000"/>
          <w:sz w:val="24"/>
          <w:szCs w:val="24"/>
          <w:bdr w:val="none" w:sz="0" w:space="0" w:color="auto" w:frame="1"/>
        </w:rPr>
        <w:t>Sex and Society in</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theWorld of the Orthodox Slavs, 900–1700</w:t>
      </w:r>
      <w:r w:rsidRPr="00B67784">
        <w:rPr>
          <w:rFonts w:ascii="Cambria" w:eastAsia="Times New Roman" w:hAnsi="Cambria" w:cs="Times New Roman"/>
          <w:color w:val="000000"/>
          <w:sz w:val="24"/>
          <w:szCs w:val="24"/>
        </w:rPr>
        <w:t> (Ithaca, NY: Cornell University Press, 1989); Lyndal Roper, </w:t>
      </w:r>
      <w:r w:rsidRPr="00B67784">
        <w:rPr>
          <w:rFonts w:ascii="inherit" w:eastAsia="Times New Roman" w:hAnsi="inherit" w:cs="Times New Roman"/>
          <w:i/>
          <w:iCs/>
          <w:color w:val="000000"/>
          <w:sz w:val="24"/>
          <w:szCs w:val="24"/>
          <w:bdr w:val="none" w:sz="0" w:space="0" w:color="auto" w:frame="1"/>
        </w:rPr>
        <w:t>Oedipus and the Devil: Witchcraft, Sexuality,and Religion in Early Modern Europe</w:t>
      </w:r>
      <w:r w:rsidRPr="00B67784">
        <w:rPr>
          <w:rFonts w:ascii="Cambria" w:eastAsia="Times New Roman" w:hAnsi="Cambria" w:cs="Times New Roman"/>
          <w:color w:val="000000"/>
          <w:sz w:val="24"/>
          <w:szCs w:val="24"/>
        </w:rPr>
        <w:t> (London: Routledge, 1994); Joel Harrington, </w:t>
      </w:r>
      <w:r w:rsidRPr="00B67784">
        <w:rPr>
          <w:rFonts w:ascii="inherit" w:eastAsia="Times New Roman" w:hAnsi="inherit" w:cs="Times New Roman"/>
          <w:i/>
          <w:iCs/>
          <w:color w:val="000000"/>
          <w:sz w:val="24"/>
          <w:szCs w:val="24"/>
          <w:bdr w:val="none" w:sz="0" w:space="0" w:color="auto" w:frame="1"/>
        </w:rPr>
        <w:t>Reordering Marriage and Society in Reformation Germany</w:t>
      </w:r>
      <w:r w:rsidRPr="00B67784">
        <w:rPr>
          <w:rFonts w:ascii="Cambria" w:eastAsia="Times New Roman" w:hAnsi="Cambria" w:cs="Times New Roman"/>
          <w:color w:val="000000"/>
          <w:sz w:val="24"/>
          <w:szCs w:val="24"/>
        </w:rPr>
        <w:t>(Cambridge: Cambridge University Press, 1995); Leslie J. Lindenauer, </w:t>
      </w:r>
      <w:r w:rsidRPr="00B67784">
        <w:rPr>
          <w:rFonts w:ascii="inherit" w:eastAsia="Times New Roman" w:hAnsi="inherit" w:cs="Times New Roman"/>
          <w:i/>
          <w:iCs/>
          <w:color w:val="000000"/>
          <w:sz w:val="24"/>
          <w:szCs w:val="24"/>
          <w:bdr w:val="none" w:sz="0" w:space="0" w:color="auto" w:frame="1"/>
        </w:rPr>
        <w:t>Piety</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and Power: Gender and Religious Culture in the American Colonies,1630- 1700</w:t>
      </w:r>
      <w:r w:rsidRPr="00B67784">
        <w:rPr>
          <w:rFonts w:ascii="Cambria" w:eastAsia="Times New Roman" w:hAnsi="Cambria" w:cs="Times New Roman"/>
          <w:color w:val="000000"/>
          <w:sz w:val="24"/>
          <w:szCs w:val="24"/>
        </w:rPr>
        <w:t> (New York: Routledge, 2002); Nora E. Jaffary, ed., </w:t>
      </w:r>
      <w:r w:rsidRPr="00B67784">
        <w:rPr>
          <w:rFonts w:ascii="inherit" w:eastAsia="Times New Roman" w:hAnsi="inherit" w:cs="Times New Roman"/>
          <w:i/>
          <w:iCs/>
          <w:color w:val="000000"/>
          <w:sz w:val="24"/>
          <w:szCs w:val="24"/>
          <w:bdr w:val="none" w:sz="0" w:space="0" w:color="auto" w:frame="1"/>
        </w:rPr>
        <w:t>Gender, Race and</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Religion in the Colonization of the Americas</w:t>
      </w:r>
      <w:r w:rsidRPr="00B67784">
        <w:rPr>
          <w:rFonts w:ascii="Cambria" w:eastAsia="Times New Roman" w:hAnsi="Cambria" w:cs="Times New Roman"/>
          <w:color w:val="000000"/>
          <w:sz w:val="24"/>
          <w:szCs w:val="24"/>
        </w:rPr>
        <w:t> (Burlington, VT:Ashgate, 2007); Merry E. Wiesner-Hanks, </w:t>
      </w:r>
      <w:r w:rsidRPr="00B67784">
        <w:rPr>
          <w:rFonts w:ascii="inherit" w:eastAsia="Times New Roman" w:hAnsi="inherit" w:cs="Times New Roman"/>
          <w:i/>
          <w:iCs/>
          <w:color w:val="000000"/>
          <w:sz w:val="24"/>
          <w:szCs w:val="24"/>
          <w:bdr w:val="none" w:sz="0" w:space="0" w:color="auto" w:frame="1"/>
        </w:rPr>
        <w:t>Christianity and Sexuality in the Early</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Modern World: Regulating Desire, Reforming Practice</w:t>
      </w:r>
      <w:r w:rsidRPr="00B67784">
        <w:rPr>
          <w:rFonts w:ascii="Cambria" w:eastAsia="Times New Roman" w:hAnsi="Cambria" w:cs="Times New Roman"/>
          <w:color w:val="000000"/>
          <w:sz w:val="24"/>
          <w:szCs w:val="24"/>
        </w:rPr>
        <w:t> (2ndedn., London: Routledge, 2010). For the modern period, see Evelyn Brooks Higginbotham, </w:t>
      </w:r>
      <w:r w:rsidRPr="00B67784">
        <w:rPr>
          <w:rFonts w:ascii="inherit" w:eastAsia="Times New Roman" w:hAnsi="inherit" w:cs="Times New Roman"/>
          <w:i/>
          <w:iCs/>
          <w:color w:val="000000"/>
          <w:sz w:val="24"/>
          <w:szCs w:val="24"/>
          <w:bdr w:val="none" w:sz="0" w:space="0" w:color="auto" w:frame="1"/>
        </w:rPr>
        <w:t>Righteous Discontent: The Women’s Movement in theBlack Baptist Church, 1880-1920</w:t>
      </w:r>
      <w:r w:rsidRPr="00B67784">
        <w:rPr>
          <w:rFonts w:ascii="Cambria" w:eastAsia="Times New Roman" w:hAnsi="Cambria" w:cs="Times New Roman"/>
          <w:color w:val="000000"/>
          <w:sz w:val="24"/>
          <w:szCs w:val="24"/>
        </w:rPr>
        <w:t> (Cambridge, MA: Harvard University Press, 1993); Susan Juster and Lisa MacFarlane, eds., </w:t>
      </w:r>
      <w:r w:rsidRPr="00B67784">
        <w:rPr>
          <w:rFonts w:ascii="inherit" w:eastAsia="Times New Roman" w:hAnsi="inherit" w:cs="Times New Roman"/>
          <w:i/>
          <w:iCs/>
          <w:color w:val="000000"/>
          <w:sz w:val="24"/>
          <w:szCs w:val="24"/>
          <w:bdr w:val="none" w:sz="0" w:space="0" w:color="auto" w:frame="1"/>
        </w:rPr>
        <w:t>A Mighty Baptism:Race, Gender, and the</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Creation of American Protestantism</w:t>
      </w:r>
      <w:r w:rsidRPr="00B67784">
        <w:rPr>
          <w:rFonts w:ascii="Cambria" w:eastAsia="Times New Roman" w:hAnsi="Cambria" w:cs="Times New Roman"/>
          <w:color w:val="000000"/>
          <w:sz w:val="24"/>
          <w:szCs w:val="24"/>
        </w:rPr>
        <w:t> (Ithaca, NY: Cornell University Press, 1996); Rosemary Radford Ruether, </w:t>
      </w:r>
      <w:r w:rsidRPr="00B67784">
        <w:rPr>
          <w:rFonts w:ascii="inherit" w:eastAsia="Times New Roman" w:hAnsi="inherit" w:cs="Times New Roman"/>
          <w:i/>
          <w:iCs/>
          <w:color w:val="000000"/>
          <w:sz w:val="24"/>
          <w:szCs w:val="24"/>
          <w:bdr w:val="none" w:sz="0" w:space="0" w:color="auto" w:frame="1"/>
        </w:rPr>
        <w:t>Christianityand the Making of the</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Modern Family</w:t>
      </w:r>
      <w:r w:rsidRPr="00B67784">
        <w:rPr>
          <w:rFonts w:ascii="Cambria" w:eastAsia="Times New Roman" w:hAnsi="Cambria" w:cs="Times New Roman"/>
          <w:color w:val="000000"/>
          <w:sz w:val="24"/>
          <w:szCs w:val="24"/>
        </w:rPr>
        <w:t> (Boston: Beacon Press, 2000); Aurora G. Morcillo, </w:t>
      </w:r>
      <w:r w:rsidRPr="00B67784">
        <w:rPr>
          <w:rFonts w:ascii="inherit" w:eastAsia="Times New Roman" w:hAnsi="inherit" w:cs="Times New Roman"/>
          <w:i/>
          <w:iCs/>
          <w:color w:val="000000"/>
          <w:sz w:val="24"/>
          <w:szCs w:val="24"/>
          <w:bdr w:val="none" w:sz="0" w:space="0" w:color="auto" w:frame="1"/>
        </w:rPr>
        <w:t>True</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Catholic Womanhood: Gender Ideology in Franco’sSpain</w:t>
      </w:r>
      <w:r w:rsidRPr="00B67784">
        <w:rPr>
          <w:rFonts w:ascii="Cambria" w:eastAsia="Times New Roman" w:hAnsi="Cambria" w:cs="Times New Roman"/>
          <w:color w:val="000000"/>
          <w:sz w:val="24"/>
          <w:szCs w:val="24"/>
        </w:rPr>
        <w:t> (DeKalb: Northern Illinois University Press, 2000); Doris Buss and Didi Herman, </w:t>
      </w:r>
      <w:r w:rsidRPr="00B67784">
        <w:rPr>
          <w:rFonts w:ascii="inherit" w:eastAsia="Times New Roman" w:hAnsi="inherit" w:cs="Times New Roman"/>
          <w:i/>
          <w:iCs/>
          <w:color w:val="000000"/>
          <w:sz w:val="24"/>
          <w:szCs w:val="24"/>
          <w:bdr w:val="none" w:sz="0" w:space="0" w:color="auto" w:frame="1"/>
        </w:rPr>
        <w:t>Globalizing Family Values: The Christian Right inInternational Politics</w:t>
      </w:r>
      <w:r w:rsidRPr="00B67784">
        <w:rPr>
          <w:rFonts w:ascii="Cambria" w:eastAsia="Times New Roman" w:hAnsi="Cambria" w:cs="Times New Roman"/>
          <w:color w:val="000000"/>
          <w:sz w:val="24"/>
          <w:szCs w:val="24"/>
        </w:rPr>
        <w:t> (Minneapolis: University of Minnesota Press, 2003); Eliza F. Kent, </w:t>
      </w:r>
      <w:r w:rsidRPr="00B67784">
        <w:rPr>
          <w:rFonts w:ascii="inherit" w:eastAsia="Times New Roman" w:hAnsi="inherit" w:cs="Times New Roman"/>
          <w:i/>
          <w:iCs/>
          <w:color w:val="000000"/>
          <w:sz w:val="24"/>
          <w:szCs w:val="24"/>
          <w:bdr w:val="none" w:sz="0" w:space="0" w:color="auto" w:frame="1"/>
        </w:rPr>
        <w:t>Converting</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Women: Gender and Protestant Christianityin Colonial South India</w:t>
      </w:r>
      <w:r w:rsidRPr="00B67784">
        <w:rPr>
          <w:rFonts w:ascii="Cambria" w:eastAsia="Times New Roman" w:hAnsi="Cambria" w:cs="Times New Roman"/>
          <w:color w:val="000000"/>
          <w:sz w:val="24"/>
          <w:szCs w:val="24"/>
        </w:rPr>
        <w:t> (New York: Oxford University Press, 2004); Cordelia Moyse, </w:t>
      </w:r>
      <w:r w:rsidRPr="00B67784">
        <w:rPr>
          <w:rFonts w:ascii="inherit" w:eastAsia="Times New Roman" w:hAnsi="inherit" w:cs="Times New Roman"/>
          <w:i/>
          <w:iCs/>
          <w:color w:val="000000"/>
          <w:sz w:val="24"/>
          <w:szCs w:val="24"/>
          <w:bdr w:val="none" w:sz="0" w:space="0" w:color="auto" w:frame="1"/>
        </w:rPr>
        <w:t>A History of the</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Mothers’ Union: Women, Anglicanism andGlobalisation, 1876–2008</w:t>
      </w:r>
      <w:r w:rsidRPr="00B67784">
        <w:rPr>
          <w:rFonts w:ascii="Cambria" w:eastAsia="Times New Roman" w:hAnsi="Cambria" w:cs="Times New Roman"/>
          <w:color w:val="000000"/>
          <w:sz w:val="24"/>
          <w:szCs w:val="24"/>
        </w:rPr>
        <w:t> (London: Boydell and Brewer, 2009).</w:t>
      </w:r>
    </w:p>
    <w:p w14:paraId="4DBA1D94" w14:textId="77777777" w:rsidR="00B67784" w:rsidRPr="00B67784" w:rsidRDefault="00B67784" w:rsidP="00B67784">
      <w:pPr>
        <w:spacing w:before="360" w:after="180" w:line="270" w:lineRule="atLeast"/>
        <w:jc w:val="center"/>
        <w:rPr>
          <w:rFonts w:ascii="Cambria" w:eastAsia="Times New Roman" w:hAnsi="Cambria" w:cs="Times New Roman"/>
          <w:b/>
          <w:bCs/>
          <w:color w:val="000000"/>
          <w:sz w:val="32"/>
          <w:szCs w:val="32"/>
        </w:rPr>
      </w:pPr>
      <w:r w:rsidRPr="00B67784">
        <w:rPr>
          <w:rFonts w:ascii="Cambria" w:eastAsia="Times New Roman" w:hAnsi="Cambria" w:cs="Times New Roman"/>
          <w:b/>
          <w:bCs/>
          <w:color w:val="000000"/>
          <w:sz w:val="32"/>
          <w:szCs w:val="32"/>
        </w:rPr>
        <w:t>Islam</w:t>
      </w:r>
    </w:p>
    <w:p w14:paraId="780D96F8" w14:textId="77777777" w:rsidR="00B67784" w:rsidRPr="00B67784" w:rsidRDefault="00B67784" w:rsidP="00B67784">
      <w:pPr>
        <w:shd w:val="clear" w:color="auto" w:fill="FFFFFF"/>
        <w:spacing w:after="0" w:line="240" w:lineRule="auto"/>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An excellent very brief overview is Judith Tucker, </w:t>
      </w:r>
      <w:r w:rsidRPr="00B67784">
        <w:rPr>
          <w:rFonts w:ascii="inherit" w:eastAsia="Times New Roman" w:hAnsi="inherit" w:cs="Times New Roman"/>
          <w:i/>
          <w:iCs/>
          <w:color w:val="000000"/>
          <w:sz w:val="24"/>
          <w:szCs w:val="24"/>
          <w:bdr w:val="none" w:sz="0" w:space="0" w:color="auto" w:frame="1"/>
        </w:rPr>
        <w:t>Gender and Islamic</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History</w:t>
      </w:r>
      <w:r w:rsidRPr="00B67784">
        <w:rPr>
          <w:rFonts w:ascii="Cambria" w:eastAsia="Times New Roman" w:hAnsi="Cambria" w:cs="Times New Roman"/>
          <w:color w:val="000000"/>
          <w:sz w:val="24"/>
          <w:szCs w:val="24"/>
        </w:rPr>
        <w:t> (Washington DC, American Historical Association, 1995). Twowidely read analyses of the roots of Muslim ideas of gender are Leila Ahmed, </w:t>
      </w:r>
      <w:r w:rsidRPr="00B67784">
        <w:rPr>
          <w:rFonts w:ascii="inherit" w:eastAsia="Times New Roman" w:hAnsi="inherit" w:cs="Times New Roman"/>
          <w:i/>
          <w:iCs/>
          <w:color w:val="000000"/>
          <w:sz w:val="24"/>
          <w:szCs w:val="24"/>
          <w:bdr w:val="none" w:sz="0" w:space="0" w:color="auto" w:frame="1"/>
        </w:rPr>
        <w:t>Women and Gender in Islam: Historical Roots of a Modern Debate</w:t>
      </w:r>
      <w:r w:rsidRPr="00B67784">
        <w:rPr>
          <w:rFonts w:ascii="Cambria" w:eastAsia="Times New Roman" w:hAnsi="Cambria" w:cs="Times New Roman"/>
          <w:color w:val="000000"/>
          <w:sz w:val="24"/>
          <w:szCs w:val="24"/>
        </w:rPr>
        <w:t>(New Haven, CT: Yale University Press, 1992) and Fatima Mernissi, </w:t>
      </w:r>
      <w:r w:rsidRPr="00B67784">
        <w:rPr>
          <w:rFonts w:ascii="inherit" w:eastAsia="Times New Roman" w:hAnsi="inherit" w:cs="Times New Roman"/>
          <w:i/>
          <w:iCs/>
          <w:color w:val="000000"/>
          <w:sz w:val="24"/>
          <w:szCs w:val="24"/>
          <w:bdr w:val="none" w:sz="0" w:space="0" w:color="auto" w:frame="1"/>
        </w:rPr>
        <w:t>The Veil and the Male Elite: A Feminist Interpretation of Women’s Rights inIslam,</w:t>
      </w:r>
      <w:r w:rsidRPr="00B67784">
        <w:rPr>
          <w:rFonts w:ascii="Cambria" w:eastAsia="Times New Roman" w:hAnsi="Cambria" w:cs="Times New Roman"/>
          <w:color w:val="000000"/>
          <w:sz w:val="24"/>
          <w:szCs w:val="24"/>
        </w:rPr>
        <w:t> trans. Mary Jo Lakeland (R</w:t>
      </w:r>
      <w:r w:rsidRPr="00B67784">
        <w:rPr>
          <w:rFonts w:ascii="Cambria" w:eastAsia="Times New Roman" w:hAnsi="Cambria" w:cs="Times New Roman"/>
          <w:color w:val="000000"/>
          <w:sz w:val="24"/>
          <w:szCs w:val="24"/>
        </w:rPr>
        <w:lastRenderedPageBreak/>
        <w:t>eading, MA: Addison-Wesley, 1991). More detailed discussions of Islamic law and traditions are M. E. Combs-Schilling, </w:t>
      </w:r>
      <w:r w:rsidRPr="00B67784">
        <w:rPr>
          <w:rFonts w:ascii="inherit" w:eastAsia="Times New Roman" w:hAnsi="inherit" w:cs="Times New Roman"/>
          <w:i/>
          <w:iCs/>
          <w:color w:val="000000"/>
          <w:sz w:val="24"/>
          <w:szCs w:val="24"/>
          <w:bdr w:val="none" w:sz="0" w:space="0" w:color="auto" w:frame="1"/>
        </w:rPr>
        <w:t>Sacred</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Performances: Islam, Sexuality, and Sacrifice</w:t>
      </w:r>
      <w:r w:rsidRPr="00B67784">
        <w:rPr>
          <w:rFonts w:ascii="Cambria" w:eastAsia="Times New Roman" w:hAnsi="Cambria" w:cs="Times New Roman"/>
          <w:color w:val="000000"/>
          <w:sz w:val="24"/>
          <w:szCs w:val="24"/>
        </w:rPr>
        <w:t> (New York: Columbia University Press, 1989); Amire El Azhary Sonbol, ed., </w:t>
      </w:r>
      <w:r w:rsidRPr="00B67784">
        <w:rPr>
          <w:rFonts w:ascii="inherit" w:eastAsia="Times New Roman" w:hAnsi="inherit" w:cs="Times New Roman"/>
          <w:i/>
          <w:iCs/>
          <w:color w:val="000000"/>
          <w:sz w:val="24"/>
          <w:szCs w:val="24"/>
          <w:bdr w:val="none" w:sz="0" w:space="0" w:color="auto" w:frame="1"/>
        </w:rPr>
        <w:t>Women, the Family</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and Divorce Laws in Islamic History</w:t>
      </w:r>
      <w:r w:rsidRPr="00B67784">
        <w:rPr>
          <w:rFonts w:ascii="Cambria" w:eastAsia="Times New Roman" w:hAnsi="Cambria" w:cs="Times New Roman"/>
          <w:color w:val="000000"/>
          <w:sz w:val="24"/>
          <w:szCs w:val="24"/>
        </w:rPr>
        <w:t> (Syracuse, NY: Syracuse University Press, 1996); Eleanor Abdella Doumato, </w:t>
      </w:r>
      <w:r w:rsidRPr="00B67784">
        <w:rPr>
          <w:rFonts w:ascii="inherit" w:eastAsia="Times New Roman" w:hAnsi="inherit" w:cs="Times New Roman"/>
          <w:i/>
          <w:iCs/>
          <w:color w:val="000000"/>
          <w:sz w:val="24"/>
          <w:szCs w:val="24"/>
          <w:bdr w:val="none" w:sz="0" w:space="0" w:color="auto" w:frame="1"/>
        </w:rPr>
        <w:t>GettingGod’s Ear: Women, Islam, and Healing in Saudi Arabia and the Gulf</w:t>
      </w:r>
      <w:r w:rsidRPr="00B67784">
        <w:rPr>
          <w:rFonts w:ascii="Cambria" w:eastAsia="Times New Roman" w:hAnsi="Cambria" w:cs="Times New Roman"/>
          <w:color w:val="000000"/>
          <w:sz w:val="24"/>
          <w:szCs w:val="24"/>
        </w:rPr>
        <w:t> (New York: Columbia University Press, 2000); Minoo Derayeh, </w:t>
      </w:r>
      <w:r w:rsidRPr="00B67784">
        <w:rPr>
          <w:rFonts w:ascii="inherit" w:eastAsia="Times New Roman" w:hAnsi="inherit" w:cs="Times New Roman"/>
          <w:i/>
          <w:iCs/>
          <w:color w:val="000000"/>
          <w:sz w:val="24"/>
          <w:szCs w:val="24"/>
          <w:bdr w:val="none" w:sz="0" w:space="0" w:color="auto" w:frame="1"/>
        </w:rPr>
        <w:t>GenderEquality in Iranian History: From</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Pre-Islamic Times to the Present</w:t>
      </w:r>
      <w:r w:rsidRPr="00B67784">
        <w:rPr>
          <w:rFonts w:ascii="Cambria" w:eastAsia="Times New Roman" w:hAnsi="Cambria" w:cs="Times New Roman"/>
          <w:color w:val="000000"/>
          <w:sz w:val="24"/>
          <w:szCs w:val="24"/>
        </w:rPr>
        <w:t>. (Lewiston, NY: Edwin Mellen, 2006). For recent collections of articles, seeNikki R. Keddie and Beth Baron, eds., </w:t>
      </w:r>
      <w:r w:rsidRPr="00B67784">
        <w:rPr>
          <w:rFonts w:ascii="inherit" w:eastAsia="Times New Roman" w:hAnsi="inherit" w:cs="Times New Roman"/>
          <w:i/>
          <w:iCs/>
          <w:color w:val="000000"/>
          <w:sz w:val="24"/>
          <w:szCs w:val="24"/>
          <w:bdr w:val="none" w:sz="0" w:space="0" w:color="auto" w:frame="1"/>
        </w:rPr>
        <w:t>Women in Middle Eastern History: Shifting Boundaries in Sex and Gender</w:t>
      </w:r>
      <w:r w:rsidRPr="00B67784">
        <w:rPr>
          <w:rFonts w:ascii="Cambria" w:eastAsia="Times New Roman" w:hAnsi="Cambria" w:cs="Times New Roman"/>
          <w:color w:val="000000"/>
          <w:sz w:val="24"/>
          <w:szCs w:val="24"/>
        </w:rPr>
        <w:t> (New Haven, CT: Yale UniversityPress, 1991); Gavin R.G. Hambly, ed., </w:t>
      </w:r>
      <w:r w:rsidRPr="00B67784">
        <w:rPr>
          <w:rFonts w:ascii="inherit" w:eastAsia="Times New Roman" w:hAnsi="inherit" w:cs="Times New Roman"/>
          <w:i/>
          <w:iCs/>
          <w:color w:val="000000"/>
          <w:sz w:val="24"/>
          <w:szCs w:val="24"/>
          <w:bdr w:val="none" w:sz="0" w:space="0" w:color="auto" w:frame="1"/>
        </w:rPr>
        <w:t>Women in the Medieval Islamic World: Power, Patronage, and Piety</w:t>
      </w:r>
      <w:r w:rsidRPr="00B67784">
        <w:rPr>
          <w:rFonts w:ascii="Cambria" w:eastAsia="Times New Roman" w:hAnsi="Cambria" w:cs="Times New Roman"/>
          <w:color w:val="000000"/>
          <w:sz w:val="24"/>
          <w:szCs w:val="24"/>
        </w:rPr>
        <w:t> (New York: St Martin’s Press, 1998);Sarah Ansari and Vanessa Martin, eds., </w:t>
      </w:r>
      <w:r w:rsidRPr="00B67784">
        <w:rPr>
          <w:rFonts w:ascii="inherit" w:eastAsia="Times New Roman" w:hAnsi="inherit" w:cs="Times New Roman"/>
          <w:i/>
          <w:iCs/>
          <w:color w:val="000000"/>
          <w:sz w:val="24"/>
          <w:szCs w:val="24"/>
          <w:bdr w:val="none" w:sz="0" w:space="0" w:color="auto" w:frame="1"/>
        </w:rPr>
        <w:t>Women, Religion and Culture in Iran</w:t>
      </w:r>
      <w:r w:rsidRPr="00B67784">
        <w:rPr>
          <w:rFonts w:ascii="Cambria" w:eastAsia="Times New Roman" w:hAnsi="Cambria" w:cs="Times New Roman"/>
          <w:color w:val="000000"/>
          <w:sz w:val="24"/>
          <w:szCs w:val="24"/>
        </w:rPr>
        <w:t> (Richmond, UK: Curzon, 2002); Amira El-Azhary Sonbol, ed., </w:t>
      </w:r>
      <w:r w:rsidRPr="00B67784">
        <w:rPr>
          <w:rFonts w:ascii="inherit" w:eastAsia="Times New Roman" w:hAnsi="inherit" w:cs="Times New Roman"/>
          <w:i/>
          <w:iCs/>
          <w:color w:val="000000"/>
          <w:sz w:val="24"/>
          <w:szCs w:val="24"/>
          <w:bdr w:val="none" w:sz="0" w:space="0" w:color="auto" w:frame="1"/>
        </w:rPr>
        <w:t>Beyond the Exotic: Women’s Histories in</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Islamic Societies</w:t>
      </w:r>
      <w:r w:rsidRPr="00B67784">
        <w:rPr>
          <w:rFonts w:ascii="Cambria" w:eastAsia="Times New Roman" w:hAnsi="Cambria" w:cs="Times New Roman"/>
          <w:color w:val="000000"/>
          <w:sz w:val="24"/>
          <w:szCs w:val="24"/>
        </w:rPr>
        <w:t> (Syracuse, NY: Syracuse University Press, 2005).</w:t>
      </w:r>
    </w:p>
    <w:p w14:paraId="3C65B0FD" w14:textId="77777777" w:rsidR="00B67784" w:rsidRPr="00B67784" w:rsidRDefault="00B67784" w:rsidP="00B67784">
      <w:pPr>
        <w:shd w:val="clear" w:color="auto" w:fill="FFFFFF"/>
        <w:spacing w:after="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Collections that directly compare religions include Kari Elizabeth Borreson and Kari Vogt, eds., </w:t>
      </w:r>
      <w:r w:rsidRPr="00B67784">
        <w:rPr>
          <w:rFonts w:ascii="inherit" w:eastAsia="Times New Roman" w:hAnsi="inherit" w:cs="Times New Roman"/>
          <w:i/>
          <w:iCs/>
          <w:color w:val="000000"/>
          <w:sz w:val="24"/>
          <w:szCs w:val="24"/>
          <w:bdr w:val="none" w:sz="0" w:space="0" w:color="auto" w:frame="1"/>
        </w:rPr>
        <w:t>Women’s Studies of the Christian and IslamicTraditions: Ancient, Medieval, and Renaissance Foremothers</w:t>
      </w:r>
      <w:r w:rsidRPr="00B67784">
        <w:rPr>
          <w:rFonts w:ascii="Cambria" w:eastAsia="Times New Roman" w:hAnsi="Cambria" w:cs="Times New Roman"/>
          <w:color w:val="000000"/>
          <w:sz w:val="24"/>
          <w:szCs w:val="24"/>
        </w:rPr>
        <w:t> (Dordrecht: Kluwer, 1993); Kristen E. Kvam et al., eds., </w:t>
      </w:r>
      <w:r w:rsidRPr="00B67784">
        <w:rPr>
          <w:rFonts w:ascii="inherit" w:eastAsia="Times New Roman" w:hAnsi="inherit" w:cs="Times New Roman"/>
          <w:i/>
          <w:iCs/>
          <w:color w:val="000000"/>
          <w:sz w:val="24"/>
          <w:szCs w:val="24"/>
          <w:bdr w:val="none" w:sz="0" w:space="0" w:color="auto" w:frame="1"/>
        </w:rPr>
        <w:t>Eve and Adam: JewishChristian and</w:t>
      </w:r>
      <w:r w:rsidRPr="00B67784">
        <w:rPr>
          <w:rFonts w:ascii="Cambria" w:eastAsia="Times New Roman" w:hAnsi="Cambria" w:cs="Times New Roman"/>
          <w:color w:val="000000"/>
          <w:sz w:val="24"/>
          <w:szCs w:val="24"/>
        </w:rPr>
        <w:t> </w:t>
      </w:r>
      <w:r w:rsidRPr="00B67784">
        <w:rPr>
          <w:rFonts w:ascii="inherit" w:eastAsia="Times New Roman" w:hAnsi="inherit" w:cs="Times New Roman"/>
          <w:i/>
          <w:iCs/>
          <w:color w:val="000000"/>
          <w:sz w:val="24"/>
          <w:szCs w:val="24"/>
          <w:bdr w:val="none" w:sz="0" w:space="0" w:color="auto" w:frame="1"/>
        </w:rPr>
        <w:t>Muslim Readings on Genesis and Gender</w:t>
      </w:r>
      <w:r w:rsidRPr="00B67784">
        <w:rPr>
          <w:rFonts w:ascii="Cambria" w:eastAsia="Times New Roman" w:hAnsi="Cambria" w:cs="Times New Roman"/>
          <w:color w:val="000000"/>
          <w:sz w:val="24"/>
          <w:szCs w:val="24"/>
        </w:rPr>
        <w:t> (Bloomington: Indiana University Press, 1999); Jane Bayesm and Nayereh Tohidi, eds., </w:t>
      </w:r>
      <w:r w:rsidRPr="00B67784">
        <w:rPr>
          <w:rFonts w:ascii="inherit" w:eastAsia="Times New Roman" w:hAnsi="inherit" w:cs="Times New Roman"/>
          <w:i/>
          <w:iCs/>
          <w:color w:val="000000"/>
          <w:sz w:val="24"/>
          <w:szCs w:val="24"/>
          <w:bdr w:val="none" w:sz="0" w:space="0" w:color="auto" w:frame="1"/>
        </w:rPr>
        <w:t>Globalization, Gender, and Religion: The Politics of Women’s Rights in Catholic and Muslim Contexts</w:t>
      </w:r>
      <w:r w:rsidRPr="00B67784">
        <w:rPr>
          <w:rFonts w:ascii="Cambria" w:eastAsia="Times New Roman" w:hAnsi="Cambria" w:cs="Times New Roman"/>
          <w:color w:val="000000"/>
          <w:sz w:val="24"/>
          <w:szCs w:val="24"/>
        </w:rPr>
        <w:t> (New York: Palgrave, 2001).</w:t>
      </w:r>
    </w:p>
    <w:p w14:paraId="2443AE5B" w14:textId="77777777" w:rsidR="00B67784" w:rsidRPr="00B67784" w:rsidRDefault="00B67784" w:rsidP="00B67784">
      <w:pPr>
        <w:shd w:val="clear" w:color="auto" w:fill="FFFFFF"/>
        <w:spacing w:after="0" w:line="240" w:lineRule="auto"/>
        <w:ind w:firstLine="240"/>
        <w:rPr>
          <w:rFonts w:ascii="Cambria" w:eastAsia="Times New Roman" w:hAnsi="Cambria" w:cs="Times New Roman"/>
          <w:color w:val="000000"/>
          <w:sz w:val="24"/>
          <w:szCs w:val="24"/>
        </w:rPr>
      </w:pPr>
      <w:r w:rsidRPr="00B67784">
        <w:rPr>
          <w:rFonts w:ascii="Cambria" w:eastAsia="Times New Roman" w:hAnsi="Cambria" w:cs="Times New Roman"/>
          <w:color w:val="000000"/>
          <w:sz w:val="24"/>
          <w:szCs w:val="24"/>
        </w:rPr>
        <w:t>There is a much longer list of selected readings, along with links to original sources, on the website associated with this book: </w:t>
      </w:r>
      <w:hyperlink r:id="rId74" w:history="1">
        <w:r w:rsidRPr="00B67784">
          <w:rPr>
            <w:rFonts w:ascii="inherit" w:eastAsia="Times New Roman" w:hAnsi="inherit" w:cs="Times New Roman"/>
            <w:color w:val="0069D6"/>
            <w:sz w:val="24"/>
            <w:szCs w:val="24"/>
            <w:bdr w:val="none" w:sz="0" w:space="0" w:color="auto" w:frame="1"/>
          </w:rPr>
          <w:t>www.wiley.com/go/wiesnerhanks</w:t>
        </w:r>
      </w:hyperlink>
      <w:r w:rsidRPr="00B67784">
        <w:rPr>
          <w:rFonts w:ascii="Cambria" w:eastAsia="Times New Roman" w:hAnsi="Cambria" w:cs="Times New Roman"/>
          <w:color w:val="000000"/>
          <w:sz w:val="24"/>
          <w:szCs w:val="24"/>
        </w:rPr>
        <w:t>.</w:t>
      </w:r>
    </w:p>
    <w:p w14:paraId="5384A7BC" w14:textId="77777777" w:rsidR="00B67784" w:rsidRPr="00B67784" w:rsidRDefault="00B67784" w:rsidP="00B67784">
      <w:pPr>
        <w:numPr>
          <w:ilvl w:val="0"/>
          <w:numId w:val="21"/>
        </w:numPr>
        <w:spacing w:after="0" w:line="270" w:lineRule="atLeast"/>
        <w:ind w:left="0"/>
        <w:rPr>
          <w:rFonts w:ascii="inherit" w:eastAsia="Times New Roman" w:hAnsi="inherit" w:cs="Times New Roman"/>
          <w:color w:val="808080"/>
          <w:sz w:val="20"/>
          <w:szCs w:val="20"/>
        </w:rPr>
      </w:pPr>
      <w:hyperlink r:id="rId75" w:history="1">
        <w:r w:rsidRPr="00B67784">
          <w:rPr>
            <w:rFonts w:ascii="inherit" w:eastAsia="Times New Roman" w:hAnsi="inherit" w:cs="Times New Roman"/>
            <w:color w:val="0069D6"/>
            <w:sz w:val="20"/>
            <w:szCs w:val="20"/>
            <w:u w:val="single"/>
            <w:bdr w:val="none" w:sz="0" w:space="0" w:color="auto" w:frame="1"/>
          </w:rPr>
          <w:t>Notebook</w:t>
        </w:r>
      </w:hyperlink>
    </w:p>
    <w:p w14:paraId="61C5CD72" w14:textId="77777777" w:rsidR="0033598E" w:rsidRDefault="0033598E">
      <w:bookmarkStart w:id="0" w:name="_GoBack"/>
      <w:bookmarkEnd w:id="0"/>
    </w:p>
    <w:sectPr w:rsidR="003359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31772"/>
    <w:multiLevelType w:val="multilevel"/>
    <w:tmpl w:val="5D04F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F36B8F"/>
    <w:multiLevelType w:val="multilevel"/>
    <w:tmpl w:val="3F3E9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974EF6"/>
    <w:multiLevelType w:val="multilevel"/>
    <w:tmpl w:val="0AF84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A71103"/>
    <w:multiLevelType w:val="multilevel"/>
    <w:tmpl w:val="860C0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DA3E22"/>
    <w:multiLevelType w:val="multilevel"/>
    <w:tmpl w:val="CD061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0F7DBF"/>
    <w:multiLevelType w:val="multilevel"/>
    <w:tmpl w:val="AF0C0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5930F7"/>
    <w:multiLevelType w:val="multilevel"/>
    <w:tmpl w:val="47944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3F02C8"/>
    <w:multiLevelType w:val="multilevel"/>
    <w:tmpl w:val="C5106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864393"/>
    <w:multiLevelType w:val="multilevel"/>
    <w:tmpl w:val="57D63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83054C"/>
    <w:multiLevelType w:val="multilevel"/>
    <w:tmpl w:val="D0D04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2304728"/>
    <w:multiLevelType w:val="multilevel"/>
    <w:tmpl w:val="FA7E3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6A3D20"/>
    <w:multiLevelType w:val="multilevel"/>
    <w:tmpl w:val="7DF46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CC435E"/>
    <w:multiLevelType w:val="multilevel"/>
    <w:tmpl w:val="39967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05D2CC8"/>
    <w:multiLevelType w:val="multilevel"/>
    <w:tmpl w:val="65D89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681A6C"/>
    <w:multiLevelType w:val="multilevel"/>
    <w:tmpl w:val="BB1CC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BF5C40"/>
    <w:multiLevelType w:val="multilevel"/>
    <w:tmpl w:val="A5B80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467703F"/>
    <w:multiLevelType w:val="multilevel"/>
    <w:tmpl w:val="F3409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AB7832"/>
    <w:multiLevelType w:val="multilevel"/>
    <w:tmpl w:val="C8A4B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69E5DC4"/>
    <w:multiLevelType w:val="multilevel"/>
    <w:tmpl w:val="F8C2E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4F2BE4"/>
    <w:multiLevelType w:val="multilevel"/>
    <w:tmpl w:val="EC587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0E10A5"/>
    <w:multiLevelType w:val="multilevel"/>
    <w:tmpl w:val="99164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6"/>
  </w:num>
  <w:num w:numId="3">
    <w:abstractNumId w:val="3"/>
  </w:num>
  <w:num w:numId="4">
    <w:abstractNumId w:val="17"/>
  </w:num>
  <w:num w:numId="5">
    <w:abstractNumId w:val="8"/>
  </w:num>
  <w:num w:numId="6">
    <w:abstractNumId w:val="9"/>
  </w:num>
  <w:num w:numId="7">
    <w:abstractNumId w:val="12"/>
  </w:num>
  <w:num w:numId="8">
    <w:abstractNumId w:val="7"/>
  </w:num>
  <w:num w:numId="9">
    <w:abstractNumId w:val="4"/>
  </w:num>
  <w:num w:numId="10">
    <w:abstractNumId w:val="1"/>
  </w:num>
  <w:num w:numId="11">
    <w:abstractNumId w:val="20"/>
  </w:num>
  <w:num w:numId="12">
    <w:abstractNumId w:val="0"/>
  </w:num>
  <w:num w:numId="13">
    <w:abstractNumId w:val="2"/>
  </w:num>
  <w:num w:numId="14">
    <w:abstractNumId w:val="14"/>
  </w:num>
  <w:num w:numId="15">
    <w:abstractNumId w:val="11"/>
  </w:num>
  <w:num w:numId="16">
    <w:abstractNumId w:val="5"/>
  </w:num>
  <w:num w:numId="17">
    <w:abstractNumId w:val="10"/>
  </w:num>
  <w:num w:numId="18">
    <w:abstractNumId w:val="15"/>
  </w:num>
  <w:num w:numId="19">
    <w:abstractNumId w:val="18"/>
  </w:num>
  <w:num w:numId="20">
    <w:abstractNumId w:val="19"/>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784"/>
    <w:rsid w:val="0033598E"/>
    <w:rsid w:val="00640500"/>
    <w:rsid w:val="00B677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F957A"/>
  <w15:chartTrackingRefBased/>
  <w15:docId w15:val="{F6F20C79-9359-471D-BCAC-F380300C3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B6778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ptertitle">
    <w:name w:val="chaptertitle"/>
    <w:basedOn w:val="Normal"/>
    <w:rsid w:val="00B677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erd">
    <w:name w:val="werd"/>
    <w:basedOn w:val="DefaultParagraphFont"/>
    <w:rsid w:val="00B67784"/>
  </w:style>
  <w:style w:type="paragraph" w:customStyle="1" w:styleId="chaptersubtitle">
    <w:name w:val="chaptersubtitle"/>
    <w:basedOn w:val="Normal"/>
    <w:rsid w:val="00B6778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aftertitle">
    <w:name w:val="paraaftertitle"/>
    <w:basedOn w:val="Normal"/>
    <w:rsid w:val="00B6778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
    <w:name w:val="para"/>
    <w:basedOn w:val="Normal"/>
    <w:rsid w:val="00B677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B67784"/>
    <w:rPr>
      <w:rFonts w:ascii="Times New Roman" w:eastAsia="Times New Roman" w:hAnsi="Times New Roman" w:cs="Times New Roman"/>
      <w:b/>
      <w:bCs/>
      <w:kern w:val="36"/>
      <w:sz w:val="48"/>
      <w:szCs w:val="48"/>
    </w:rPr>
  </w:style>
  <w:style w:type="paragraph" w:customStyle="1" w:styleId="msonormal0">
    <w:name w:val="msonormal"/>
    <w:basedOn w:val="Normal"/>
    <w:rsid w:val="00B6778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okreaderbigicon">
    <w:name w:val="bookreader_bigicon"/>
    <w:basedOn w:val="Normal"/>
    <w:rsid w:val="00B6778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67784"/>
    <w:rPr>
      <w:color w:val="0000FF"/>
      <w:u w:val="single"/>
    </w:rPr>
  </w:style>
  <w:style w:type="character" w:styleId="FollowedHyperlink">
    <w:name w:val="FollowedHyperlink"/>
    <w:basedOn w:val="DefaultParagraphFont"/>
    <w:uiPriority w:val="99"/>
    <w:semiHidden/>
    <w:unhideWhenUsed/>
    <w:rsid w:val="00B67784"/>
    <w:rPr>
      <w:color w:val="800080"/>
      <w:u w:val="single"/>
    </w:rPr>
  </w:style>
  <w:style w:type="paragraph" w:customStyle="1" w:styleId="bookreadertinyicon">
    <w:name w:val="bookreader_tinyicon"/>
    <w:basedOn w:val="Normal"/>
    <w:rsid w:val="00B6778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1">
    <w:name w:val="h1"/>
    <w:basedOn w:val="Normal"/>
    <w:rsid w:val="00B6778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67784"/>
    <w:rPr>
      <w:i/>
      <w:iCs/>
    </w:rPr>
  </w:style>
  <w:style w:type="paragraph" w:customStyle="1" w:styleId="h2">
    <w:name w:val="h2"/>
    <w:basedOn w:val="Normal"/>
    <w:rsid w:val="00B6778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2879886">
      <w:bodyDiv w:val="1"/>
      <w:marLeft w:val="0"/>
      <w:marRight w:val="0"/>
      <w:marTop w:val="0"/>
      <w:marBottom w:val="0"/>
      <w:divBdr>
        <w:top w:val="none" w:sz="0" w:space="0" w:color="auto"/>
        <w:left w:val="none" w:sz="0" w:space="0" w:color="auto"/>
        <w:bottom w:val="none" w:sz="0" w:space="0" w:color="auto"/>
        <w:right w:val="none" w:sz="0" w:space="0" w:color="auto"/>
      </w:divBdr>
      <w:divsChild>
        <w:div w:id="106237518">
          <w:marLeft w:val="0"/>
          <w:marRight w:val="0"/>
          <w:marTop w:val="0"/>
          <w:marBottom w:val="0"/>
          <w:divBdr>
            <w:top w:val="none" w:sz="0" w:space="0" w:color="auto"/>
            <w:left w:val="none" w:sz="0" w:space="0" w:color="auto"/>
            <w:bottom w:val="none" w:sz="0" w:space="0" w:color="auto"/>
            <w:right w:val="single" w:sz="12" w:space="0" w:color="E8E7E2"/>
          </w:divBdr>
        </w:div>
        <w:div w:id="1568758429">
          <w:marLeft w:val="0"/>
          <w:marRight w:val="0"/>
          <w:marTop w:val="0"/>
          <w:marBottom w:val="0"/>
          <w:divBdr>
            <w:top w:val="none" w:sz="0" w:space="0" w:color="auto"/>
            <w:left w:val="single" w:sz="12" w:space="0" w:color="E8E7E2"/>
            <w:bottom w:val="none" w:sz="0" w:space="0" w:color="auto"/>
            <w:right w:val="none" w:sz="0" w:space="0" w:color="auto"/>
          </w:divBdr>
        </w:div>
        <w:div w:id="1423532165">
          <w:marLeft w:val="0"/>
          <w:marRight w:val="0"/>
          <w:marTop w:val="0"/>
          <w:marBottom w:val="0"/>
          <w:divBdr>
            <w:top w:val="none" w:sz="0" w:space="0" w:color="auto"/>
            <w:left w:val="none" w:sz="0" w:space="0" w:color="auto"/>
            <w:bottom w:val="none" w:sz="0" w:space="0" w:color="auto"/>
            <w:right w:val="none" w:sz="0" w:space="0" w:color="auto"/>
          </w:divBdr>
          <w:divsChild>
            <w:div w:id="609556063">
              <w:marLeft w:val="0"/>
              <w:marRight w:val="0"/>
              <w:marTop w:val="0"/>
              <w:marBottom w:val="0"/>
              <w:divBdr>
                <w:top w:val="none" w:sz="0" w:space="0" w:color="auto"/>
                <w:left w:val="none" w:sz="0" w:space="0" w:color="auto"/>
                <w:bottom w:val="none" w:sz="0" w:space="0" w:color="auto"/>
                <w:right w:val="none" w:sz="0" w:space="0" w:color="auto"/>
              </w:divBdr>
              <w:divsChild>
                <w:div w:id="172347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037146">
      <w:bodyDiv w:val="1"/>
      <w:marLeft w:val="0"/>
      <w:marRight w:val="0"/>
      <w:marTop w:val="0"/>
      <w:marBottom w:val="0"/>
      <w:divBdr>
        <w:top w:val="none" w:sz="0" w:space="0" w:color="auto"/>
        <w:left w:val="none" w:sz="0" w:space="0" w:color="auto"/>
        <w:bottom w:val="none" w:sz="0" w:space="0" w:color="auto"/>
        <w:right w:val="none" w:sz="0" w:space="0" w:color="auto"/>
      </w:divBdr>
      <w:divsChild>
        <w:div w:id="1799033334">
          <w:marLeft w:val="0"/>
          <w:marRight w:val="0"/>
          <w:marTop w:val="0"/>
          <w:marBottom w:val="0"/>
          <w:divBdr>
            <w:top w:val="none" w:sz="0" w:space="0" w:color="auto"/>
            <w:left w:val="none" w:sz="0" w:space="0" w:color="auto"/>
            <w:bottom w:val="none" w:sz="0" w:space="0" w:color="auto"/>
            <w:right w:val="single" w:sz="12" w:space="0" w:color="E8E7E2"/>
          </w:divBdr>
        </w:div>
        <w:div w:id="516817336">
          <w:marLeft w:val="0"/>
          <w:marRight w:val="0"/>
          <w:marTop w:val="0"/>
          <w:marBottom w:val="0"/>
          <w:divBdr>
            <w:top w:val="none" w:sz="0" w:space="0" w:color="auto"/>
            <w:left w:val="single" w:sz="12" w:space="0" w:color="E8E7E2"/>
            <w:bottom w:val="none" w:sz="0" w:space="0" w:color="auto"/>
            <w:right w:val="none" w:sz="0" w:space="0" w:color="auto"/>
          </w:divBdr>
        </w:div>
        <w:div w:id="1585450327">
          <w:marLeft w:val="0"/>
          <w:marRight w:val="0"/>
          <w:marTop w:val="0"/>
          <w:marBottom w:val="0"/>
          <w:divBdr>
            <w:top w:val="none" w:sz="0" w:space="0" w:color="auto"/>
            <w:left w:val="none" w:sz="0" w:space="0" w:color="auto"/>
            <w:bottom w:val="none" w:sz="0" w:space="0" w:color="auto"/>
            <w:right w:val="none" w:sz="0" w:space="0" w:color="auto"/>
          </w:divBdr>
          <w:divsChild>
            <w:div w:id="1922987479">
              <w:marLeft w:val="0"/>
              <w:marRight w:val="0"/>
              <w:marTop w:val="0"/>
              <w:marBottom w:val="0"/>
              <w:divBdr>
                <w:top w:val="none" w:sz="0" w:space="0" w:color="auto"/>
                <w:left w:val="none" w:sz="0" w:space="0" w:color="auto"/>
                <w:bottom w:val="none" w:sz="0" w:space="0" w:color="auto"/>
                <w:right w:val="none" w:sz="0" w:space="0" w:color="auto"/>
              </w:divBdr>
              <w:divsChild>
                <w:div w:id="151139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272781">
      <w:bodyDiv w:val="1"/>
      <w:marLeft w:val="0"/>
      <w:marRight w:val="0"/>
      <w:marTop w:val="0"/>
      <w:marBottom w:val="0"/>
      <w:divBdr>
        <w:top w:val="none" w:sz="0" w:space="0" w:color="auto"/>
        <w:left w:val="none" w:sz="0" w:space="0" w:color="auto"/>
        <w:bottom w:val="none" w:sz="0" w:space="0" w:color="auto"/>
        <w:right w:val="none" w:sz="0" w:space="0" w:color="auto"/>
      </w:divBdr>
      <w:divsChild>
        <w:div w:id="51273144">
          <w:marLeft w:val="0"/>
          <w:marRight w:val="0"/>
          <w:marTop w:val="0"/>
          <w:marBottom w:val="0"/>
          <w:divBdr>
            <w:top w:val="none" w:sz="0" w:space="0" w:color="auto"/>
            <w:left w:val="none" w:sz="0" w:space="0" w:color="auto"/>
            <w:bottom w:val="none" w:sz="0" w:space="0" w:color="auto"/>
            <w:right w:val="single" w:sz="12" w:space="0" w:color="E8E7E2"/>
          </w:divBdr>
        </w:div>
        <w:div w:id="122232291">
          <w:marLeft w:val="0"/>
          <w:marRight w:val="0"/>
          <w:marTop w:val="0"/>
          <w:marBottom w:val="0"/>
          <w:divBdr>
            <w:top w:val="none" w:sz="0" w:space="0" w:color="auto"/>
            <w:left w:val="single" w:sz="12" w:space="0" w:color="E8E7E2"/>
            <w:bottom w:val="none" w:sz="0" w:space="0" w:color="auto"/>
            <w:right w:val="none" w:sz="0" w:space="0" w:color="auto"/>
          </w:divBdr>
        </w:div>
        <w:div w:id="1624849333">
          <w:marLeft w:val="0"/>
          <w:marRight w:val="0"/>
          <w:marTop w:val="0"/>
          <w:marBottom w:val="0"/>
          <w:divBdr>
            <w:top w:val="none" w:sz="0" w:space="0" w:color="auto"/>
            <w:left w:val="none" w:sz="0" w:space="0" w:color="auto"/>
            <w:bottom w:val="none" w:sz="0" w:space="0" w:color="auto"/>
            <w:right w:val="none" w:sz="0" w:space="0" w:color="auto"/>
          </w:divBdr>
          <w:divsChild>
            <w:div w:id="195701438">
              <w:marLeft w:val="0"/>
              <w:marRight w:val="0"/>
              <w:marTop w:val="0"/>
              <w:marBottom w:val="0"/>
              <w:divBdr>
                <w:top w:val="none" w:sz="0" w:space="0" w:color="auto"/>
                <w:left w:val="none" w:sz="0" w:space="0" w:color="auto"/>
                <w:bottom w:val="none" w:sz="0" w:space="0" w:color="auto"/>
                <w:right w:val="none" w:sz="0" w:space="0" w:color="auto"/>
              </w:divBdr>
              <w:divsChild>
                <w:div w:id="742261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6894474">
      <w:bodyDiv w:val="1"/>
      <w:marLeft w:val="0"/>
      <w:marRight w:val="0"/>
      <w:marTop w:val="0"/>
      <w:marBottom w:val="0"/>
      <w:divBdr>
        <w:top w:val="none" w:sz="0" w:space="0" w:color="auto"/>
        <w:left w:val="none" w:sz="0" w:space="0" w:color="auto"/>
        <w:bottom w:val="none" w:sz="0" w:space="0" w:color="auto"/>
        <w:right w:val="none" w:sz="0" w:space="0" w:color="auto"/>
      </w:divBdr>
      <w:divsChild>
        <w:div w:id="1571965250">
          <w:marLeft w:val="0"/>
          <w:marRight w:val="0"/>
          <w:marTop w:val="0"/>
          <w:marBottom w:val="0"/>
          <w:divBdr>
            <w:top w:val="none" w:sz="0" w:space="0" w:color="auto"/>
            <w:left w:val="none" w:sz="0" w:space="0" w:color="auto"/>
            <w:bottom w:val="none" w:sz="0" w:space="0" w:color="auto"/>
            <w:right w:val="single" w:sz="12" w:space="0" w:color="E8E7E2"/>
          </w:divBdr>
        </w:div>
        <w:div w:id="359890539">
          <w:marLeft w:val="0"/>
          <w:marRight w:val="0"/>
          <w:marTop w:val="0"/>
          <w:marBottom w:val="0"/>
          <w:divBdr>
            <w:top w:val="none" w:sz="0" w:space="0" w:color="auto"/>
            <w:left w:val="single" w:sz="12" w:space="0" w:color="E8E7E2"/>
            <w:bottom w:val="none" w:sz="0" w:space="0" w:color="auto"/>
            <w:right w:val="none" w:sz="0" w:space="0" w:color="auto"/>
          </w:divBdr>
        </w:div>
        <w:div w:id="2048294204">
          <w:marLeft w:val="0"/>
          <w:marRight w:val="0"/>
          <w:marTop w:val="0"/>
          <w:marBottom w:val="0"/>
          <w:divBdr>
            <w:top w:val="none" w:sz="0" w:space="0" w:color="auto"/>
            <w:left w:val="none" w:sz="0" w:space="0" w:color="auto"/>
            <w:bottom w:val="none" w:sz="0" w:space="0" w:color="auto"/>
            <w:right w:val="none" w:sz="0" w:space="0" w:color="auto"/>
          </w:divBdr>
          <w:divsChild>
            <w:div w:id="949816664">
              <w:marLeft w:val="0"/>
              <w:marRight w:val="0"/>
              <w:marTop w:val="0"/>
              <w:marBottom w:val="0"/>
              <w:divBdr>
                <w:top w:val="none" w:sz="0" w:space="0" w:color="auto"/>
                <w:left w:val="none" w:sz="0" w:space="0" w:color="auto"/>
                <w:bottom w:val="none" w:sz="0" w:space="0" w:color="auto"/>
                <w:right w:val="none" w:sz="0" w:space="0" w:color="auto"/>
              </w:divBdr>
              <w:divsChild>
                <w:div w:id="3323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8008569">
      <w:bodyDiv w:val="1"/>
      <w:marLeft w:val="0"/>
      <w:marRight w:val="0"/>
      <w:marTop w:val="0"/>
      <w:marBottom w:val="0"/>
      <w:divBdr>
        <w:top w:val="none" w:sz="0" w:space="0" w:color="auto"/>
        <w:left w:val="none" w:sz="0" w:space="0" w:color="auto"/>
        <w:bottom w:val="none" w:sz="0" w:space="0" w:color="auto"/>
        <w:right w:val="none" w:sz="0" w:space="0" w:color="auto"/>
      </w:divBdr>
      <w:divsChild>
        <w:div w:id="2121949148">
          <w:marLeft w:val="0"/>
          <w:marRight w:val="0"/>
          <w:marTop w:val="0"/>
          <w:marBottom w:val="0"/>
          <w:divBdr>
            <w:top w:val="none" w:sz="0" w:space="0" w:color="auto"/>
            <w:left w:val="none" w:sz="0" w:space="0" w:color="auto"/>
            <w:bottom w:val="none" w:sz="0" w:space="0" w:color="auto"/>
            <w:right w:val="single" w:sz="12" w:space="0" w:color="E8E7E2"/>
          </w:divBdr>
        </w:div>
        <w:div w:id="681205000">
          <w:marLeft w:val="0"/>
          <w:marRight w:val="0"/>
          <w:marTop w:val="0"/>
          <w:marBottom w:val="0"/>
          <w:divBdr>
            <w:top w:val="none" w:sz="0" w:space="0" w:color="auto"/>
            <w:left w:val="single" w:sz="12" w:space="0" w:color="E8E7E2"/>
            <w:bottom w:val="none" w:sz="0" w:space="0" w:color="auto"/>
            <w:right w:val="none" w:sz="0" w:space="0" w:color="auto"/>
          </w:divBdr>
        </w:div>
        <w:div w:id="323700049">
          <w:marLeft w:val="0"/>
          <w:marRight w:val="0"/>
          <w:marTop w:val="0"/>
          <w:marBottom w:val="0"/>
          <w:divBdr>
            <w:top w:val="none" w:sz="0" w:space="0" w:color="auto"/>
            <w:left w:val="none" w:sz="0" w:space="0" w:color="auto"/>
            <w:bottom w:val="none" w:sz="0" w:space="0" w:color="auto"/>
            <w:right w:val="none" w:sz="0" w:space="0" w:color="auto"/>
          </w:divBdr>
          <w:divsChild>
            <w:div w:id="1829321426">
              <w:marLeft w:val="0"/>
              <w:marRight w:val="0"/>
              <w:marTop w:val="0"/>
              <w:marBottom w:val="0"/>
              <w:divBdr>
                <w:top w:val="none" w:sz="0" w:space="0" w:color="auto"/>
                <w:left w:val="none" w:sz="0" w:space="0" w:color="auto"/>
                <w:bottom w:val="none" w:sz="0" w:space="0" w:color="auto"/>
                <w:right w:val="none" w:sz="0" w:space="0" w:color="auto"/>
              </w:divBdr>
              <w:divsChild>
                <w:div w:id="790517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371510">
      <w:bodyDiv w:val="1"/>
      <w:marLeft w:val="0"/>
      <w:marRight w:val="0"/>
      <w:marTop w:val="0"/>
      <w:marBottom w:val="0"/>
      <w:divBdr>
        <w:top w:val="none" w:sz="0" w:space="0" w:color="auto"/>
        <w:left w:val="none" w:sz="0" w:space="0" w:color="auto"/>
        <w:bottom w:val="none" w:sz="0" w:space="0" w:color="auto"/>
        <w:right w:val="none" w:sz="0" w:space="0" w:color="auto"/>
      </w:divBdr>
      <w:divsChild>
        <w:div w:id="2048138225">
          <w:marLeft w:val="0"/>
          <w:marRight w:val="0"/>
          <w:marTop w:val="0"/>
          <w:marBottom w:val="0"/>
          <w:divBdr>
            <w:top w:val="none" w:sz="0" w:space="0" w:color="auto"/>
            <w:left w:val="none" w:sz="0" w:space="0" w:color="auto"/>
            <w:bottom w:val="none" w:sz="0" w:space="0" w:color="auto"/>
            <w:right w:val="single" w:sz="12" w:space="0" w:color="E8E7E2"/>
          </w:divBdr>
        </w:div>
        <w:div w:id="1985429068">
          <w:marLeft w:val="0"/>
          <w:marRight w:val="0"/>
          <w:marTop w:val="0"/>
          <w:marBottom w:val="0"/>
          <w:divBdr>
            <w:top w:val="none" w:sz="0" w:space="0" w:color="auto"/>
            <w:left w:val="single" w:sz="12" w:space="0" w:color="E8E7E2"/>
            <w:bottom w:val="none" w:sz="0" w:space="0" w:color="auto"/>
            <w:right w:val="none" w:sz="0" w:space="0" w:color="auto"/>
          </w:divBdr>
        </w:div>
        <w:div w:id="618416172">
          <w:marLeft w:val="0"/>
          <w:marRight w:val="0"/>
          <w:marTop w:val="0"/>
          <w:marBottom w:val="0"/>
          <w:divBdr>
            <w:top w:val="none" w:sz="0" w:space="0" w:color="auto"/>
            <w:left w:val="none" w:sz="0" w:space="0" w:color="auto"/>
            <w:bottom w:val="none" w:sz="0" w:space="0" w:color="auto"/>
            <w:right w:val="none" w:sz="0" w:space="0" w:color="auto"/>
          </w:divBdr>
          <w:divsChild>
            <w:div w:id="816531412">
              <w:marLeft w:val="0"/>
              <w:marRight w:val="0"/>
              <w:marTop w:val="0"/>
              <w:marBottom w:val="0"/>
              <w:divBdr>
                <w:top w:val="none" w:sz="0" w:space="0" w:color="auto"/>
                <w:left w:val="none" w:sz="0" w:space="0" w:color="auto"/>
                <w:bottom w:val="none" w:sz="0" w:space="0" w:color="auto"/>
                <w:right w:val="none" w:sz="0" w:space="0" w:color="auto"/>
              </w:divBdr>
              <w:divsChild>
                <w:div w:id="14439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982612">
      <w:bodyDiv w:val="1"/>
      <w:marLeft w:val="0"/>
      <w:marRight w:val="0"/>
      <w:marTop w:val="0"/>
      <w:marBottom w:val="0"/>
      <w:divBdr>
        <w:top w:val="none" w:sz="0" w:space="0" w:color="auto"/>
        <w:left w:val="none" w:sz="0" w:space="0" w:color="auto"/>
        <w:bottom w:val="none" w:sz="0" w:space="0" w:color="auto"/>
        <w:right w:val="none" w:sz="0" w:space="0" w:color="auto"/>
      </w:divBdr>
      <w:divsChild>
        <w:div w:id="1603102332">
          <w:marLeft w:val="0"/>
          <w:marRight w:val="0"/>
          <w:marTop w:val="0"/>
          <w:marBottom w:val="0"/>
          <w:divBdr>
            <w:top w:val="none" w:sz="0" w:space="0" w:color="auto"/>
            <w:left w:val="none" w:sz="0" w:space="0" w:color="auto"/>
            <w:bottom w:val="none" w:sz="0" w:space="0" w:color="auto"/>
            <w:right w:val="single" w:sz="12" w:space="0" w:color="E8E7E2"/>
          </w:divBdr>
        </w:div>
        <w:div w:id="1221749228">
          <w:marLeft w:val="0"/>
          <w:marRight w:val="0"/>
          <w:marTop w:val="0"/>
          <w:marBottom w:val="0"/>
          <w:divBdr>
            <w:top w:val="none" w:sz="0" w:space="0" w:color="auto"/>
            <w:left w:val="single" w:sz="12" w:space="0" w:color="E8E7E2"/>
            <w:bottom w:val="none" w:sz="0" w:space="0" w:color="auto"/>
            <w:right w:val="none" w:sz="0" w:space="0" w:color="auto"/>
          </w:divBdr>
        </w:div>
        <w:div w:id="1283609255">
          <w:marLeft w:val="0"/>
          <w:marRight w:val="0"/>
          <w:marTop w:val="0"/>
          <w:marBottom w:val="0"/>
          <w:divBdr>
            <w:top w:val="none" w:sz="0" w:space="0" w:color="auto"/>
            <w:left w:val="none" w:sz="0" w:space="0" w:color="auto"/>
            <w:bottom w:val="none" w:sz="0" w:space="0" w:color="auto"/>
            <w:right w:val="none" w:sz="0" w:space="0" w:color="auto"/>
          </w:divBdr>
          <w:divsChild>
            <w:div w:id="884146695">
              <w:marLeft w:val="0"/>
              <w:marRight w:val="0"/>
              <w:marTop w:val="0"/>
              <w:marBottom w:val="0"/>
              <w:divBdr>
                <w:top w:val="none" w:sz="0" w:space="0" w:color="auto"/>
                <w:left w:val="none" w:sz="0" w:space="0" w:color="auto"/>
                <w:bottom w:val="none" w:sz="0" w:space="0" w:color="auto"/>
                <w:right w:val="none" w:sz="0" w:space="0" w:color="auto"/>
              </w:divBdr>
              <w:divsChild>
                <w:div w:id="76349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04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ontent.ashford.edu/books/Wiesner.8792.17.1/sections/navpoint-37" TargetMode="External"/><Relationship Id="rId18" Type="http://schemas.openxmlformats.org/officeDocument/2006/relationships/hyperlink" Target="https://content.ashford.edu/print/Wiesner.8792.17.1?sections=navpoint-37&amp;content=all" TargetMode="External"/><Relationship Id="rId26" Type="http://schemas.openxmlformats.org/officeDocument/2006/relationships/hyperlink" Target="https://content.ashford.edu/books/Wiesner.8792.17.1/sections/navpoint-38" TargetMode="External"/><Relationship Id="rId39" Type="http://schemas.openxmlformats.org/officeDocument/2006/relationships/hyperlink" Target="https://content.ashford.edu/books/Wiesner.8792.17.1/sections/navpoint-39" TargetMode="External"/><Relationship Id="rId21" Type="http://schemas.openxmlformats.org/officeDocument/2006/relationships/hyperlink" Target="https://content.ashford.edu/books/Wiesner.8792.17.1/sections/navpoint-37" TargetMode="External"/><Relationship Id="rId34" Type="http://schemas.openxmlformats.org/officeDocument/2006/relationships/hyperlink" Target="https://content.ashford.edu/books/Wiesner.8792.17.1/sections/navpoint-38" TargetMode="External"/><Relationship Id="rId42" Type="http://schemas.openxmlformats.org/officeDocument/2006/relationships/hyperlink" Target="https://content.ashford.edu/books/Wiesner.8792.17.1/sections/navpoint-38" TargetMode="External"/><Relationship Id="rId47" Type="http://schemas.openxmlformats.org/officeDocument/2006/relationships/hyperlink" Target="https://content.ashford.edu/books/Wiesner.8792.17.1/sections/navpoint-40" TargetMode="External"/><Relationship Id="rId50" Type="http://schemas.openxmlformats.org/officeDocument/2006/relationships/hyperlink" Target="https://content.ashford.edu/books/Wiesner.8792.17.1/sections/navpoint-40" TargetMode="External"/><Relationship Id="rId55" Type="http://schemas.openxmlformats.org/officeDocument/2006/relationships/hyperlink" Target="https://content.ashford.edu/Bookshelf" TargetMode="External"/><Relationship Id="rId63" Type="http://schemas.openxmlformats.org/officeDocument/2006/relationships/hyperlink" Target="https://content.ashford.edu/books/Wiesner.8792.17.1/sections/navpoint-42" TargetMode="External"/><Relationship Id="rId68" Type="http://schemas.openxmlformats.org/officeDocument/2006/relationships/hyperlink" Target="https://content.ashford.edu/print/Wiesner.8792.17.1?sections=navpoint-42&amp;content=all" TargetMode="External"/><Relationship Id="rId76" Type="http://schemas.openxmlformats.org/officeDocument/2006/relationships/fontTable" Target="fontTable.xml"/><Relationship Id="rId7" Type="http://schemas.openxmlformats.org/officeDocument/2006/relationships/hyperlink" Target="https://content.ashford.edu/books/Wiesner.8792.17.1/sections/navpoint-36" TargetMode="External"/><Relationship Id="rId71" Type="http://schemas.openxmlformats.org/officeDocument/2006/relationships/hyperlink" Target="https://content.ashford.edu/books/Wiesner.8792.17.1/sections/navpoint-42" TargetMode="External"/><Relationship Id="rId2" Type="http://schemas.openxmlformats.org/officeDocument/2006/relationships/styles" Target="styles.xml"/><Relationship Id="rId16" Type="http://schemas.openxmlformats.org/officeDocument/2006/relationships/hyperlink" Target="https://content.ashford.edu/books/Wiesner.8792.17.1/sections/navpoint-37" TargetMode="External"/><Relationship Id="rId29" Type="http://schemas.openxmlformats.org/officeDocument/2006/relationships/hyperlink" Target="https://content.ashford.edu/books/Wiesner.8792.17.1/sections/navpoint-38" TargetMode="External"/><Relationship Id="rId11" Type="http://schemas.openxmlformats.org/officeDocument/2006/relationships/hyperlink" Target="https://content.ashford.edu/books/Wiesner.8792.17.1/sections/navpoint-36" TargetMode="External"/><Relationship Id="rId24" Type="http://schemas.openxmlformats.org/officeDocument/2006/relationships/hyperlink" Target="https://content.ashford.edu/books/Wiesner.8792.17.1/sections/navpoint-37" TargetMode="External"/><Relationship Id="rId32" Type="http://schemas.openxmlformats.org/officeDocument/2006/relationships/hyperlink" Target="https://content.ashford.edu/books/Wiesner.8792.17.1/sections/navpoint-37" TargetMode="External"/><Relationship Id="rId37" Type="http://schemas.openxmlformats.org/officeDocument/2006/relationships/hyperlink" Target="https://content.ashford.edu/books/Wiesner.8792.17.1/sections/navpoint-39" TargetMode="External"/><Relationship Id="rId40" Type="http://schemas.openxmlformats.org/officeDocument/2006/relationships/hyperlink" Target="https://content.ashford.edu/books/Wiesner.8792.17.1/sections/navpoint-39" TargetMode="External"/><Relationship Id="rId45" Type="http://schemas.openxmlformats.org/officeDocument/2006/relationships/hyperlink" Target="https://content.ashford.edu/Bookshelf" TargetMode="External"/><Relationship Id="rId53" Type="http://schemas.openxmlformats.org/officeDocument/2006/relationships/hyperlink" Target="https://content.ashford.edu/books/Wiesner.8792.17.1/sections/navpoint-41" TargetMode="External"/><Relationship Id="rId58" Type="http://schemas.openxmlformats.org/officeDocument/2006/relationships/hyperlink" Target="https://content.ashford.edu/print/Wiesner.8792.17.1?sections=navpoint-41&amp;content=all" TargetMode="External"/><Relationship Id="rId66" Type="http://schemas.openxmlformats.org/officeDocument/2006/relationships/hyperlink" Target="https://content.ashford.edu/books/Wiesner.8792.17.1/sections/navpoint-42" TargetMode="External"/><Relationship Id="rId74" Type="http://schemas.openxmlformats.org/officeDocument/2006/relationships/hyperlink" Target="http://www.wiley.com/go/wiesnerhanks" TargetMode="External"/><Relationship Id="rId5" Type="http://schemas.openxmlformats.org/officeDocument/2006/relationships/hyperlink" Target="https://content.ashford.edu/Bookshelf" TargetMode="External"/><Relationship Id="rId15" Type="http://schemas.openxmlformats.org/officeDocument/2006/relationships/hyperlink" Target="https://content.ashford.edu/Bookshelf" TargetMode="External"/><Relationship Id="rId23" Type="http://schemas.openxmlformats.org/officeDocument/2006/relationships/hyperlink" Target="https://content.ashford.edu/books/Wiesner.8792.17.1/sections/navpoint-38" TargetMode="External"/><Relationship Id="rId28" Type="http://schemas.openxmlformats.org/officeDocument/2006/relationships/hyperlink" Target="https://content.ashford.edu/print/Wiesner.8792.17.1?sections=navpoint-38&amp;content=all" TargetMode="External"/><Relationship Id="rId36" Type="http://schemas.openxmlformats.org/officeDocument/2006/relationships/hyperlink" Target="https://content.ashford.edu/books/Wiesner.8792.17.1/sections/navpoint-39" TargetMode="External"/><Relationship Id="rId49" Type="http://schemas.openxmlformats.org/officeDocument/2006/relationships/hyperlink" Target="https://content.ashford.edu/books/Wiesner.8792.17.1/sections/navpoint-40" TargetMode="External"/><Relationship Id="rId57" Type="http://schemas.openxmlformats.org/officeDocument/2006/relationships/hyperlink" Target="https://content.ashford.edu/books/Wiesner.8792.17.1/sections/navpoint-41" TargetMode="External"/><Relationship Id="rId61" Type="http://schemas.openxmlformats.org/officeDocument/2006/relationships/hyperlink" Target="https://content.ashford.edu/books/Wiesner.8792.17.1/sections/navpoint-41" TargetMode="External"/><Relationship Id="rId10" Type="http://schemas.openxmlformats.org/officeDocument/2006/relationships/hyperlink" Target="https://content.ashford.edu/books/Wiesner.8792.17.1/sections/navpoint-36" TargetMode="External"/><Relationship Id="rId19" Type="http://schemas.openxmlformats.org/officeDocument/2006/relationships/hyperlink" Target="https://content.ashford.edu/books/Wiesner.8792.17.1/sections/navpoint-37" TargetMode="External"/><Relationship Id="rId31" Type="http://schemas.openxmlformats.org/officeDocument/2006/relationships/hyperlink" Target="https://content.ashford.edu/books/Wiesner.8792.17.1/sections/navpoint-38" TargetMode="External"/><Relationship Id="rId44" Type="http://schemas.openxmlformats.org/officeDocument/2006/relationships/hyperlink" Target="https://content.ashford.edu/books/Wiesner.8792.17.1/sections/navpoint-39" TargetMode="External"/><Relationship Id="rId52" Type="http://schemas.openxmlformats.org/officeDocument/2006/relationships/hyperlink" Target="https://content.ashford.edu/books/Wiesner.8792.17.1/sections/navpoint-39" TargetMode="External"/><Relationship Id="rId60" Type="http://schemas.openxmlformats.org/officeDocument/2006/relationships/hyperlink" Target="https://content.ashford.edu/books/Wiesner.8792.17.1/sections/navpoint-41" TargetMode="External"/><Relationship Id="rId65" Type="http://schemas.openxmlformats.org/officeDocument/2006/relationships/hyperlink" Target="https://content.ashford.edu/Bookshelf" TargetMode="External"/><Relationship Id="rId73" Type="http://schemas.openxmlformats.org/officeDocument/2006/relationships/hyperlink" Target="https://content.ashford.edu/books/Wiesner.8792.17.1/sections/navpoint-43" TargetMode="External"/><Relationship Id="rId4" Type="http://schemas.openxmlformats.org/officeDocument/2006/relationships/webSettings" Target="webSettings.xml"/><Relationship Id="rId9" Type="http://schemas.openxmlformats.org/officeDocument/2006/relationships/hyperlink" Target="https://content.ashford.edu/books/Wiesner.8792.17.1/sections/navpoint-36" TargetMode="External"/><Relationship Id="rId14" Type="http://schemas.openxmlformats.org/officeDocument/2006/relationships/hyperlink" Target="https://content.ashford.edu/books/Wiesner.8792.17.1/sections/navpoint-36" TargetMode="External"/><Relationship Id="rId22" Type="http://schemas.openxmlformats.org/officeDocument/2006/relationships/hyperlink" Target="https://content.ashford.edu/books/Wiesner.8792.17.1/sections/navpoint-36" TargetMode="External"/><Relationship Id="rId27" Type="http://schemas.openxmlformats.org/officeDocument/2006/relationships/hyperlink" Target="https://content.ashford.edu/books/Wiesner.8792.17.1/sections/navpoint-38" TargetMode="External"/><Relationship Id="rId30" Type="http://schemas.openxmlformats.org/officeDocument/2006/relationships/hyperlink" Target="https://content.ashford.edu/books/Wiesner.8792.17.1/sections/navpoint-38" TargetMode="External"/><Relationship Id="rId35" Type="http://schemas.openxmlformats.org/officeDocument/2006/relationships/hyperlink" Target="https://content.ashford.edu/Bookshelf" TargetMode="External"/><Relationship Id="rId43" Type="http://schemas.openxmlformats.org/officeDocument/2006/relationships/hyperlink" Target="https://content.ashford.edu/books/Wiesner.8792.17.1/sections/navpoint-40" TargetMode="External"/><Relationship Id="rId48" Type="http://schemas.openxmlformats.org/officeDocument/2006/relationships/hyperlink" Target="https://content.ashford.edu/print/Wiesner.8792.17.1?sections=navpoint-40&amp;content=all" TargetMode="External"/><Relationship Id="rId56" Type="http://schemas.openxmlformats.org/officeDocument/2006/relationships/hyperlink" Target="https://content.ashford.edu/books/Wiesner.8792.17.1/sections/navpoint-41" TargetMode="External"/><Relationship Id="rId64" Type="http://schemas.openxmlformats.org/officeDocument/2006/relationships/hyperlink" Target="https://content.ashford.edu/books/Wiesner.8792.17.1/sections/navpoint-41" TargetMode="External"/><Relationship Id="rId69" Type="http://schemas.openxmlformats.org/officeDocument/2006/relationships/hyperlink" Target="https://content.ashford.edu/books/Wiesner.8792.17.1/sections/navpoint-42" TargetMode="External"/><Relationship Id="rId77" Type="http://schemas.openxmlformats.org/officeDocument/2006/relationships/theme" Target="theme/theme1.xml"/><Relationship Id="rId8" Type="http://schemas.openxmlformats.org/officeDocument/2006/relationships/hyperlink" Target="https://content.ashford.edu/print/Wiesner.8792.17.1?sections=navpoint-36&amp;content=all" TargetMode="External"/><Relationship Id="rId51" Type="http://schemas.openxmlformats.org/officeDocument/2006/relationships/hyperlink" Target="https://content.ashford.edu/books/Wiesner.8792.17.1/sections/navpoint-40" TargetMode="External"/><Relationship Id="rId72" Type="http://schemas.openxmlformats.org/officeDocument/2006/relationships/hyperlink" Target="https://content.ashford.edu/books/Wiesner.8792.17.1/sections/navpoint-41" TargetMode="External"/><Relationship Id="rId3" Type="http://schemas.openxmlformats.org/officeDocument/2006/relationships/settings" Target="settings.xml"/><Relationship Id="rId12" Type="http://schemas.openxmlformats.org/officeDocument/2006/relationships/hyperlink" Target="https://content.ashford.edu/books/Wiesner.8792.17.1/sections/navpoint-35" TargetMode="External"/><Relationship Id="rId17" Type="http://schemas.openxmlformats.org/officeDocument/2006/relationships/hyperlink" Target="https://content.ashford.edu/books/Wiesner.8792.17.1/sections/navpoint-37" TargetMode="External"/><Relationship Id="rId25" Type="http://schemas.openxmlformats.org/officeDocument/2006/relationships/hyperlink" Target="https://content.ashford.edu/Bookshelf" TargetMode="External"/><Relationship Id="rId33" Type="http://schemas.openxmlformats.org/officeDocument/2006/relationships/hyperlink" Target="https://content.ashford.edu/books/Wiesner.8792.17.1/sections/navpoint-39" TargetMode="External"/><Relationship Id="rId38" Type="http://schemas.openxmlformats.org/officeDocument/2006/relationships/hyperlink" Target="https://content.ashford.edu/print/Wiesner.8792.17.1?sections=navpoint-39&amp;content=all" TargetMode="External"/><Relationship Id="rId46" Type="http://schemas.openxmlformats.org/officeDocument/2006/relationships/hyperlink" Target="https://content.ashford.edu/books/Wiesner.8792.17.1/sections/navpoint-40" TargetMode="External"/><Relationship Id="rId59" Type="http://schemas.openxmlformats.org/officeDocument/2006/relationships/hyperlink" Target="https://content.ashford.edu/books/Wiesner.8792.17.1/sections/navpoint-41" TargetMode="External"/><Relationship Id="rId67" Type="http://schemas.openxmlformats.org/officeDocument/2006/relationships/hyperlink" Target="https://content.ashford.edu/books/Wiesner.8792.17.1/sections/navpoint-42" TargetMode="External"/><Relationship Id="rId20" Type="http://schemas.openxmlformats.org/officeDocument/2006/relationships/hyperlink" Target="https://content.ashford.edu/books/Wiesner.8792.17.1/sections/navpoint-37" TargetMode="External"/><Relationship Id="rId41" Type="http://schemas.openxmlformats.org/officeDocument/2006/relationships/hyperlink" Target="https://content.ashford.edu/books/Wiesner.8792.17.1/sections/navpoint-39" TargetMode="External"/><Relationship Id="rId54" Type="http://schemas.openxmlformats.org/officeDocument/2006/relationships/hyperlink" Target="https://content.ashford.edu/books/Wiesner.8792.17.1/sections/navpoint-40" TargetMode="External"/><Relationship Id="rId62" Type="http://schemas.openxmlformats.org/officeDocument/2006/relationships/hyperlink" Target="https://content.ashford.edu/books/Wiesner.8792.17.1/sections/navpoint-40" TargetMode="External"/><Relationship Id="rId70" Type="http://schemas.openxmlformats.org/officeDocument/2006/relationships/hyperlink" Target="https://content.ashford.edu/books/Wiesner.8792.17.1/sections/navpoint-42" TargetMode="External"/><Relationship Id="rId75" Type="http://schemas.openxmlformats.org/officeDocument/2006/relationships/hyperlink" Target="https://content.ashford.edu/books/Wiesner.8792.17.1/sections/navpoint-42" TargetMode="External"/><Relationship Id="rId1" Type="http://schemas.openxmlformats.org/officeDocument/2006/relationships/numbering" Target="numbering.xml"/><Relationship Id="rId6" Type="http://schemas.openxmlformats.org/officeDocument/2006/relationships/hyperlink" Target="https://content.ashford.edu/books/Wiesner.8792.17.1/sections/navpoint-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25</Pages>
  <Words>13150</Words>
  <Characters>74959</Characters>
  <Application>Microsoft Office Word</Application>
  <DocSecurity>0</DocSecurity>
  <Lines>624</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 Bi</dc:creator>
  <cp:keywords/>
  <dc:description/>
  <cp:lastModifiedBy>Cu Bi</cp:lastModifiedBy>
  <cp:revision>1</cp:revision>
  <dcterms:created xsi:type="dcterms:W3CDTF">2018-07-12T07:29:00Z</dcterms:created>
  <dcterms:modified xsi:type="dcterms:W3CDTF">2018-07-12T07:32:00Z</dcterms:modified>
</cp:coreProperties>
</file>